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40" w:rsidRPr="00767770" w:rsidRDefault="001A5740" w:rsidP="001A5740">
      <w:pPr>
        <w:spacing w:line="240" w:lineRule="auto"/>
        <w:ind w:left="289" w:right="289"/>
        <w:jc w:val="center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</w:pPr>
    </w:p>
    <w:p w:rsidR="001A5740" w:rsidRPr="00767770" w:rsidRDefault="001A5740" w:rsidP="001A5740">
      <w:pPr>
        <w:spacing w:line="240" w:lineRule="auto"/>
        <w:ind w:left="289" w:right="289"/>
        <w:jc w:val="center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  <w:t xml:space="preserve">Handelskwekerij G. J. Bier B. V. </w:t>
      </w:r>
    </w:p>
    <w:p w:rsidR="001A5740" w:rsidRPr="00767770" w:rsidRDefault="001A5740" w:rsidP="001A5740">
      <w:pPr>
        <w:spacing w:line="240" w:lineRule="auto"/>
        <w:ind w:left="289" w:right="289"/>
        <w:jc w:val="center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hr-HR"/>
        </w:rPr>
        <w:t>protiv</w:t>
      </w:r>
    </w:p>
    <w:p w:rsidR="001A5740" w:rsidRPr="00767770" w:rsidRDefault="001A5740" w:rsidP="001A5740">
      <w:pPr>
        <w:spacing w:line="240" w:lineRule="auto"/>
        <w:ind w:left="289" w:right="289"/>
        <w:jc w:val="center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  <w:lang w:val="hr-HR"/>
        </w:rPr>
        <w:t>Mines de potasse d'Alsace SA</w:t>
      </w:r>
    </w:p>
    <w:p w:rsidR="001A5740" w:rsidRPr="00767770" w:rsidRDefault="001A5740" w:rsidP="001A5740">
      <w:pPr>
        <w:spacing w:line="240" w:lineRule="auto"/>
        <w:ind w:left="289" w:right="289"/>
        <w:jc w:val="center"/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hr-HR"/>
        </w:rPr>
        <w:t>30. studenog</w:t>
      </w:r>
      <w:r w:rsidR="000234AF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hr-HR"/>
        </w:rPr>
        <w:t>a</w:t>
      </w:r>
      <w:r w:rsidRPr="00767770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hr-HR"/>
        </w:rPr>
        <w:t xml:space="preserve"> 1976.</w:t>
      </w:r>
    </w:p>
    <w:p w:rsidR="001A5740" w:rsidRPr="00767770" w:rsidRDefault="001A5740" w:rsidP="001A5740">
      <w:pPr>
        <w:spacing w:line="240" w:lineRule="auto"/>
        <w:ind w:left="289" w:right="289"/>
        <w:jc w:val="center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Style w:val="Strong"/>
          <w:rFonts w:ascii="Times New Roman" w:hAnsi="Times New Roman"/>
          <w:b w:val="0"/>
          <w:color w:val="000000"/>
          <w:sz w:val="24"/>
          <w:szCs w:val="24"/>
          <w:shd w:val="clear" w:color="auto" w:fill="FFFFFF"/>
          <w:lang w:val="hr-HR"/>
        </w:rPr>
        <w:t>C-21/76</w:t>
      </w:r>
    </w:p>
    <w:p w:rsidR="001A5740" w:rsidRPr="00767770" w:rsidRDefault="001A574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</w:p>
    <w:p w:rsidR="0054092E" w:rsidRPr="00717286" w:rsidRDefault="0054092E" w:rsidP="0054092E">
      <w:pPr>
        <w:spacing w:before="147" w:after="147" w:line="240" w:lineRule="auto"/>
        <w:ind w:left="289" w:right="289"/>
        <w:jc w:val="center"/>
        <w:rPr>
          <w:rFonts w:ascii="Times New Roman" w:hAnsi="Times New Roman"/>
          <w:iCs/>
          <w:color w:val="000000"/>
          <w:sz w:val="24"/>
          <w:szCs w:val="24"/>
          <w:lang w:val="hr-HR"/>
        </w:rPr>
      </w:pPr>
      <w:bookmarkStart w:id="0" w:name="MO"/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Konvencija od 27. rujna 1968. o sudskoj nadležnosti i ovrsi sudskih odluka u građanskim i trgovačkim stvarima –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o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ne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č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i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šć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enje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zraka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i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vode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–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spor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s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me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đ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unarodnim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obilje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ž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jem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–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izvanugovorna odgovornost za štetu 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–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n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adležni sud –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p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osebne nadležnosti –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m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jesto</w:t>
      </w:r>
      <w:r w:rsidR="00581AA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štetnog događaja 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–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m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jesto događaja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koji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je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uzrokovao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š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tetu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i mjesto nastanka štete –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poveznice za sudsku nadležnost –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u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ž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iteljevo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pravo</w:t>
      </w:r>
      <w:r w:rsidRPr="00295D9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Pr="0071728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izbora</w:t>
      </w:r>
    </w:p>
    <w:p w:rsidR="001A5740" w:rsidRPr="00767770" w:rsidRDefault="001A5740" w:rsidP="001A5740">
      <w:pPr>
        <w:spacing w:after="0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lang w:val="hr-HR"/>
        </w:rPr>
      </w:pPr>
    </w:p>
    <w:p w:rsidR="001A5740" w:rsidRPr="00767770" w:rsidRDefault="001A5740" w:rsidP="001A5740">
      <w:pPr>
        <w:spacing w:after="0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lang w:val="hr-HR"/>
        </w:rPr>
      </w:pPr>
    </w:p>
    <w:p w:rsidR="001A5740" w:rsidRPr="00767770" w:rsidRDefault="000234AF" w:rsidP="001A5740">
      <w:pPr>
        <w:spacing w:after="0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lang w:val="hr-HR"/>
        </w:rPr>
        <w:t>IZREKA:</w:t>
      </w:r>
    </w:p>
    <w:p w:rsidR="001A5740" w:rsidRPr="00767770" w:rsidRDefault="001A5740" w:rsidP="001A5740">
      <w:pPr>
        <w:spacing w:after="0" w:line="240" w:lineRule="auto"/>
        <w:ind w:left="289" w:right="289"/>
        <w:rPr>
          <w:rFonts w:ascii="Times New Roman" w:hAnsi="Times New Roman"/>
          <w:b/>
          <w:iCs/>
          <w:color w:val="000000"/>
          <w:sz w:val="24"/>
          <w:szCs w:val="24"/>
          <w:lang w:val="hr-HR"/>
        </w:rPr>
      </w:pPr>
    </w:p>
    <w:p w:rsidR="001A5740" w:rsidRPr="00767770" w:rsidRDefault="00077065" w:rsidP="001A5740">
      <w:pPr>
        <w:spacing w:before="147" w:after="147" w:line="240" w:lineRule="auto"/>
        <w:ind w:left="289" w:right="289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Ako mjesto gdje je nastupio događaj koji je mogao </w:t>
      </w:r>
      <w:r w:rsidR="00581AAB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uzrokovati 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obvezu </w:t>
      </w:r>
      <w:r w:rsidR="001D20D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iz izvanugovorne odgovornosti za štetu </w:t>
      </w:r>
      <w:r w:rsidR="00717286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nije ujedno i 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mjesto gdje je </w:t>
      </w:r>
      <w:r w:rsidR="00581AAB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zbog 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tog događaja nastala šteta,</w:t>
      </w:r>
      <w:r w:rsidR="0016266E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pojam „mjesto gdje se dogodio štetni događaj“ iz člank</w:t>
      </w:r>
      <w:r w:rsidR="00767770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a</w:t>
      </w:r>
      <w:r w:rsidR="0016266E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5. stavka 3. Konvencije od 27. rujna 1968. o sudskoj nadležnosti i ovrsi </w:t>
      </w:r>
      <w:r w:rsidR="00767770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sudskih odluka </w:t>
      </w:r>
      <w:r w:rsidR="0016266E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u građanskim i trgovačkim stvarima treba shvatiti tako da se </w:t>
      </w:r>
      <w:r w:rsidR="00581AAB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on </w:t>
      </w:r>
      <w:r w:rsidR="0016266E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odnosi </w:t>
      </w:r>
      <w:r w:rsidR="00581AAB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kako </w:t>
      </w:r>
      <w:r w:rsidR="0016266E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na mjesto gdje je nastala šteta </w:t>
      </w:r>
      <w:r w:rsidR="00581AAB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tako </w:t>
      </w:r>
      <w:r w:rsidR="0016266E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i na mjesto </w:t>
      </w:r>
      <w:r w:rsidR="00581AAB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događaja koji je uzrokovao štetu</w:t>
      </w:r>
      <w:r w:rsidR="0016266E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16266E" w:rsidRPr="00767770" w:rsidRDefault="0016266E" w:rsidP="001A5740">
      <w:pPr>
        <w:spacing w:before="147" w:after="147" w:line="240" w:lineRule="auto"/>
        <w:ind w:left="289" w:right="289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Tuženi</w:t>
      </w:r>
      <w:r w:rsidR="00767770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k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stoga</w:t>
      </w:r>
      <w:r w:rsidR="00767770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,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ovisno o izboru tužitelja</w:t>
      </w:r>
      <w:r w:rsidR="00767770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,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67770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može biti tuže</w:t>
      </w:r>
      <w:r w:rsid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n</w:t>
      </w:r>
      <w:r w:rsidR="00767770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EB0F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bilo 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pred sudom mjesta </w:t>
      </w:r>
      <w:r w:rsidR="00581AAB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gdje je nastala šteta 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i</w:t>
      </w:r>
      <w:r w:rsidR="00EB0F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li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pred sudom mjesta događaja koji je </w:t>
      </w:r>
      <w:r w:rsidR="00581AAB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uzrokovao 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štetu</w:t>
      </w:r>
      <w:r w:rsidR="00767770"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>.</w:t>
      </w:r>
      <w:r w:rsidRPr="0076777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:rsidR="00DF4B61" w:rsidRDefault="00DF4B61" w:rsidP="001A5740">
      <w:pPr>
        <w:spacing w:after="0" w:line="240" w:lineRule="auto"/>
        <w:ind w:left="289" w:right="289"/>
        <w:rPr>
          <w:rFonts w:ascii="Times New Roman" w:hAnsi="Times New Roman"/>
          <w:b/>
          <w:iCs/>
          <w:color w:val="000000"/>
          <w:sz w:val="24"/>
          <w:szCs w:val="24"/>
          <w:lang w:val="hr-HR"/>
        </w:rPr>
      </w:pPr>
    </w:p>
    <w:p w:rsidR="001A5740" w:rsidRPr="00767770" w:rsidRDefault="001A5740" w:rsidP="001A5740">
      <w:pPr>
        <w:spacing w:after="0" w:line="240" w:lineRule="auto"/>
        <w:ind w:left="289" w:right="289"/>
        <w:rPr>
          <w:rFonts w:ascii="Times New Roman" w:hAnsi="Times New Roman"/>
          <w:b/>
          <w:iCs/>
          <w:color w:val="000000"/>
          <w:sz w:val="24"/>
          <w:szCs w:val="24"/>
          <w:lang w:val="hr-HR"/>
        </w:rPr>
      </w:pPr>
      <w:r w:rsidRPr="00767770">
        <w:rPr>
          <w:rFonts w:ascii="Times New Roman" w:hAnsi="Times New Roman"/>
          <w:b/>
          <w:iCs/>
          <w:color w:val="000000"/>
          <w:sz w:val="24"/>
          <w:szCs w:val="24"/>
          <w:lang w:val="hr-HR"/>
        </w:rPr>
        <w:t>IZ OBRAZLOŽENJA:</w:t>
      </w:r>
    </w:p>
    <w:p w:rsidR="001A5740" w:rsidRPr="00767770" w:rsidRDefault="001A5740" w:rsidP="001A5740">
      <w:pPr>
        <w:spacing w:before="147" w:after="147" w:line="240" w:lineRule="auto"/>
        <w:ind w:left="289" w:right="289"/>
        <w:rPr>
          <w:rFonts w:ascii="Times New Roman" w:hAnsi="Times New Roman"/>
          <w:sz w:val="24"/>
          <w:szCs w:val="24"/>
          <w:lang w:val="hr-HR"/>
        </w:rPr>
      </w:pP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 </w:t>
      </w:r>
      <w:r w:rsidR="0016266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ab/>
        <w:t xml:space="preserve">Odlukom od 27. veljače 1976., zaprimljenom u pisarnici Suda 2. ožujka 1976., </w:t>
      </w:r>
      <w:r w:rsidR="0016266E" w:rsidRPr="00EB0F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Gerechtshof Den Haag</w:t>
      </w:r>
      <w:r w:rsidR="0016266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u skladu s Protokolom </w:t>
      </w:r>
      <w:r w:rsidR="0016266E" w:rsidRPr="00767770">
        <w:rPr>
          <w:rFonts w:ascii="Times New Roman" w:hAnsi="Times New Roman"/>
          <w:sz w:val="24"/>
          <w:szCs w:val="24"/>
          <w:lang w:val="hr-HR"/>
        </w:rPr>
        <w:t>od 3. lipnja 1971. o tumačenju Konvencije od 27. rujna 1968. od sudskoj nadležnosti i ovrsi sudskih odluka u građanskim i trgovačkim</w:t>
      </w:r>
      <w:r w:rsidR="0061440D" w:rsidRPr="00767770">
        <w:rPr>
          <w:rFonts w:ascii="Times New Roman" w:hAnsi="Times New Roman"/>
          <w:sz w:val="24"/>
          <w:szCs w:val="24"/>
          <w:lang w:val="hr-HR"/>
        </w:rPr>
        <w:t xml:space="preserve"> stvarima (u daljnjem tekstu “Konvencija”) uputio je prethodno pitanje u vezi s tumačenjem članka 5. stavka 3. Konvencije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1A5740" w:rsidRPr="00767770" w:rsidRDefault="001A574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2 </w:t>
      </w:r>
      <w:r w:rsidR="0061440D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ab/>
        <w:t xml:space="preserve">Iz </w:t>
      </w:r>
      <w:r w:rsidR="00EB0F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o</w:t>
      </w:r>
      <w:r w:rsidR="0061440D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dluke o prethodnom pitanju razvidno je da se u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sadašnjem stadiju </w:t>
      </w:r>
      <w:r w:rsidR="0061440D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postupka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pred žalbenim sudom </w:t>
      </w:r>
      <w:r w:rsidRPr="00EB0F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G</w:t>
      </w:r>
      <w:r w:rsidR="0061440D" w:rsidRPr="00EB0F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erechtshof Den Haag</w:t>
      </w:r>
      <w:r w:rsidR="0061440D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radi </w:t>
      </w:r>
      <w:r w:rsidR="008C0B8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o pitanju jesu li prvostupanjski sud u Rotterdamu i nizozemski sudovi općenito nadležni za tužbu koju su vrtlarsko poduzeće sa sjedištem u djelokrugu prvostupanjskog suda i zaklada „Reinwater“ – koja po svojem statutu ima svrhu unaprjeđivati kakvoću vode rajnskog porječja – podnijeli protiv Mines de potasse d’Alsace S.A. sa sjedištem u </w:t>
      </w:r>
      <w:r w:rsidR="00295D9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Mulhauseu</w:t>
      </w:r>
      <w:r w:rsidR="00295D9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C0B8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(Francuska)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8C0B8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zbog onečišćenja vode Ra</w:t>
      </w:r>
      <w:r w:rsid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jne uslijed solnih otpadaka koji su iz poduzeća tuženice ispušteni</w:t>
      </w:r>
      <w:r w:rsidR="008C0B8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u Rajnu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4D3900" w:rsidRDefault="0076777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lastRenderedPageBreak/>
        <w:t>3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ab/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Ka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ko proizlazi iz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sudskoga spisa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, v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rtlarski pogon </w:t>
      </w:r>
      <w:r w:rsidR="00E2013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prvo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žaliteljice uz 1. za navodnjavanje uglavnom ovisi o vodi iz Rajne. Žalit</w:t>
      </w:r>
      <w:r w:rsidR="00EB0F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eljica navodi da visok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sadržaj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soli u toj vodi uzrokuje štete na njezinim nasadima te je prisiljava na provođenje skupih mjera kako bi se štete ograničile. </w:t>
      </w:r>
    </w:p>
    <w:p w:rsidR="001A5740" w:rsidRPr="0076777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4 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Žalitelji previsok udio soli u Rajni uglavnom</w:t>
      </w:r>
      <w:r w:rsidR="00DF2E9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pripisuju uvođenju 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veliki</w:t>
      </w:r>
      <w:r w:rsidR="00EB0F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h količina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otpadnih voda iz Mines de potasse d’Alsace S.A. To je, kako izjavljuju, ra</w:t>
      </w:r>
      <w:r w:rsidR="00F43BF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z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log za podnošenje tužbe radi naknade štete protiv tog poduzeća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4D3900" w:rsidRDefault="001A574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5</w:t>
      </w:r>
      <w:r w:rsidR="004D390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Odlukom od 12. svibnja 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1975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rotterdamski se sud proglasio nenadležnim, jer prema članku 5. stavku 3. Konvencije ta tužba ne </w:t>
      </w:r>
      <w:r w:rsidR="00BF753A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spada u njegov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u nadležnost, već u nadležnost francuskog suda u čijem se djelokrugu </w:t>
      </w:r>
      <w:r w:rsidR="00581AAB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dogodilo 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sporno </w:t>
      </w:r>
      <w:r w:rsidR="00F43BF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ispuštanje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otpadnih voda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1A5740" w:rsidRPr="0076777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6 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B</w:t>
      </w:r>
      <w:r w:rsidR="000B6FC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ier i Reinwater protiv te su odluke </w:t>
      </w:r>
      <w:r w:rsidR="00BF753A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ul</w:t>
      </w:r>
      <w:r w:rsidR="00F43BF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o</w:t>
      </w:r>
      <w:r w:rsidR="00BF753A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žile žalbu </w:t>
      </w:r>
      <w:r w:rsidR="00F43BF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kod</w:t>
      </w:r>
      <w:r w:rsidR="00BF753A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0124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suda </w:t>
      </w:r>
      <w:r w:rsidR="00BF753A" w:rsidRPr="00EB0F70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Gerechtshof Den Haag</w:t>
      </w:r>
      <w:r w:rsidR="00BF753A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a taj je sud uputio </w:t>
      </w:r>
      <w:r w:rsidR="00F43BF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Sudu </w:t>
      </w:r>
      <w:r w:rsidR="00BF753A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sljedeće pitanje na prethodno tumačenje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:</w:t>
      </w:r>
    </w:p>
    <w:p w:rsidR="001A5740" w:rsidRPr="00767770" w:rsidRDefault="00BF753A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„Treba li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izraz '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mjesto gdje se dogodio štetni događaj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'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iz članka 5. stavka 3. (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Bruxellesk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e konvencije o sudskoj nadležnosti i ovrsi sudskih odluka u građanskim i trgovačkim stvarima od 27. rujna 1968.) shvatiti tako da se odnose na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'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mjesto gdje je nastupio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štetni 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događaj (mjesto gdje je nastala ili nastupila šteta)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'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B1539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ili na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'</w:t>
      </w:r>
      <w:r w:rsidR="00B1539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mjesto gdje je</w:t>
      </w:r>
      <w:r w:rsidR="00DF2E9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nastupio </w:t>
      </w:r>
      <w:r w:rsidR="00B1539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događaj koji je prouzročio štetu (mjesto gd</w:t>
      </w:r>
      <w:r w:rsidR="00F43BF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j</w:t>
      </w:r>
      <w:r w:rsidR="00B1539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e je počinjena ili propuštena radnja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)'?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“</w:t>
      </w:r>
    </w:p>
    <w:p w:rsidR="001A5740" w:rsidRPr="00767770" w:rsidRDefault="001A5740" w:rsidP="00B1539E">
      <w:pPr>
        <w:spacing w:before="48" w:after="48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7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ab/>
        <w:t>Prema članku 5. Konvencije, „o</w:t>
      </w:r>
      <w:r w:rsidR="00B1539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soba s prebivalištem u nekoj državi članici može biti tužena u drugoj državi članici: ... 3) </w:t>
      </w:r>
      <w:r w:rsidR="001D20DD" w:rsidRPr="001D20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u sporovima o izvanugovornoj odgovornosti za štetu ili odgovornosti koja je izjednačena s tom odgovornosti, pred sudom mjesta gdje se štetni događaj dogodio</w:t>
      </w:r>
      <w:r w:rsidR="001D20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.“</w:t>
      </w:r>
    </w:p>
    <w:p w:rsidR="004D3900" w:rsidRDefault="001A574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8</w:t>
      </w:r>
      <w:r w:rsidR="004D390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B1539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Tumačenje ove odredbe mora slijediti sustav pravila o nadležnosti koja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su predmet Glave II Konvencije.</w:t>
      </w:r>
    </w:p>
    <w:p w:rsidR="004D390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9 </w:t>
      </w:r>
      <w:r w:rsidR="00B1539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Spomenuti sustav temelji se na općoj nadležnosti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suda </w:t>
      </w:r>
      <w:r w:rsidR="00B1539E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države u kojoj tuženik ima prebivalište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,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utemeljenoj odredbom članka 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2. </w:t>
      </w:r>
    </w:p>
    <w:p w:rsidR="004D390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10 </w:t>
      </w:r>
      <w:r w:rsidR="001D20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S druge strane, č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lan</w:t>
      </w:r>
      <w:r w:rsidR="00F43BF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kom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5</w:t>
      </w:r>
      <w:r w:rsidR="00F43BF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  <w:r w:rsidR="001D20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propis</w:t>
      </w:r>
      <w:r w:rsidR="00F43BF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an 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je niz posebnih nadležnosti koje se primjenjuju </w:t>
      </w:r>
      <w:r w:rsidR="001D20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po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izboru tužitelja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:rsidR="004D390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11 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Ta je sloboda izbora uveden</w:t>
      </w:r>
      <w:r w:rsidR="00F43BF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a</w:t>
      </w:r>
      <w:r w:rsidR="00751DEC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radi 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svrsishodnog vođenja postupka; </w:t>
      </w:r>
      <w:r w:rsidR="001D20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ona se temelji 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na </w:t>
      </w:r>
      <w:r w:rsidR="001D20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shvaćanju da 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u određenim slučajevima postoji posebno </w:t>
      </w:r>
      <w:r w:rsidR="00F1769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uska</w:t>
      </w:r>
      <w:r w:rsidR="00F1769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veza između spora i suda koji je pozvan da o njemu odlučuje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1A5740" w:rsidRPr="0076777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12 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Tako je člankom 5. stavkom 3. tužitelju omogućeno da tužbe na temelju nedopuš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tene radnje podnosi pred sudom „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mjesta</w:t>
      </w:r>
      <w:r w:rsidR="00581AA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gdje se dogodio štetni događaj.“</w:t>
      </w:r>
    </w:p>
    <w:p w:rsidR="004D3900" w:rsidRDefault="001A574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13</w:t>
      </w:r>
      <w:r w:rsidR="004D390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Značenje tog</w:t>
      </w:r>
      <w:r w:rsidR="001D20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a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pojma u kontekstu Konvencije nije jasno </w:t>
      </w:r>
      <w:r w:rsidR="001D20D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u slučajevima u kojima </w:t>
      </w:r>
      <w:r w:rsidR="00DB238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se 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mjesto događaja na kojemu se temelji šteta </w:t>
      </w:r>
      <w:r w:rsidR="00DB238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nalazi u državi različitoj od one 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gdje je nastala šteta</w:t>
      </w:r>
      <w:r w:rsidR="00DB238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,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kao što je posebice slučaj kod prekograničnog onečišćenja zraka 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i</w:t>
      </w:r>
      <w:r w:rsidR="0059604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li vode. </w:t>
      </w:r>
    </w:p>
    <w:p w:rsidR="001A5740" w:rsidRPr="0076777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14 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Formulacija </w:t>
      </w:r>
      <w:r w:rsidR="00EB0E2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„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mjesto</w:t>
      </w:r>
      <w:r w:rsidR="00EB0E2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gdje se dogodio štetni događaj“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i nakon razmatranja svih jezičnih inačica Konvencije ne odgovara na pitanje treba li poveznicom za utvrđivanje sudske nadležnosti u opisanom slučaju smat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r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ati mjesto stvarnog uzročnog događaja ili mjesto gdje je nastupila šteta ili naposljetku tužitelju treba prepustiti mogućnost izbora između navedenih dviju poveznica.</w:t>
      </w:r>
    </w:p>
    <w:p w:rsidR="004D3900" w:rsidRDefault="001A574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lastRenderedPageBreak/>
        <w:t>15</w:t>
      </w:r>
      <w:r w:rsidR="004D390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U ovom kontekstu treba napomenuti da</w:t>
      </w:r>
      <w:r w:rsidR="000172B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,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prema činjeničnom stanju</w:t>
      </w:r>
      <w:r w:rsidR="000172B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,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i mjesto uzročnog događaja i mjesto ostvarenja nastale štete može biti poveznica za sudsku nadležnost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4D390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16 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Odgovornost na temelju nedopuštene radnje u s</w:t>
      </w:r>
      <w:r w:rsidR="0089777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tvari dolazi u obzir samo onda kada 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je moguće utvrditi uzročnu vezu </w:t>
      </w:r>
      <w:r w:rsidR="001B2CE5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između štete i dog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ađaja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na kojemu se temelji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:rsidR="004D390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17 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Ako </w:t>
      </w:r>
      <w:r w:rsidR="00E504BC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se uzme </w:t>
      </w:r>
      <w:r w:rsidR="00A4712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u obzir </w:t>
      </w:r>
      <w:r w:rsidR="00F1769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uska </w:t>
      </w:r>
      <w:r w:rsidR="00A4712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veza</w:t>
      </w:r>
      <w:r w:rsidR="005451E2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koja postoji između raznih </w:t>
      </w:r>
      <w:r w:rsidR="001B2CE5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obilježja kod obveze naknade štete, ne čini se primjerenim odlučiti se samo</w:t>
      </w:r>
      <w:r w:rsidR="00F17697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za</w:t>
      </w:r>
      <w:r w:rsidR="001B2CE5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jednu od spomenutih poveznica i isključiti drugu. Svaka od njih, ovisno o konkretnom slučaju, može </w:t>
      </w:r>
      <w:r w:rsidR="00A4712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biti korisna </w:t>
      </w:r>
      <w:r w:rsidR="001B2CE5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kod izvođenja dokaza i vođenja postupka. </w:t>
      </w:r>
    </w:p>
    <w:p w:rsidR="004D390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18 </w:t>
      </w:r>
      <w:r w:rsidR="001B2CE5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Izbor jedne i isključenje druge poveznice čini se tim manje poželjnim što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se članak 5. stavak 3. Konvencije zahvaljujući vrlo širokoj formulaciji proteže na vrlo raznol</w:t>
      </w:r>
      <w:r w:rsidR="00A4712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ike vrste obveze naknade štete.</w:t>
      </w:r>
    </w:p>
    <w:p w:rsidR="001B2CE5" w:rsidRPr="0076777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19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Značenje pojma </w:t>
      </w:r>
      <w:r w:rsidR="00A4712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„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mjesto</w:t>
      </w:r>
      <w:r w:rsidR="00A4712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gdje se dogodio štetni događaj“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iz članka 5. stavka 3. stoga t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r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eba odrediti tako da je tužitelju prepušten izbor da podnese svoju tužbu bilo na mjestu gdje se </w:t>
      </w:r>
      <w:r w:rsidR="00DF2E9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nastupila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šteta ili na mjestu uzročnog događaja.   </w:t>
      </w:r>
      <w:r w:rsidR="001B2CE5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 </w:t>
      </w:r>
    </w:p>
    <w:p w:rsidR="004D3900" w:rsidRDefault="001A574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20</w:t>
      </w:r>
      <w:r w:rsidR="00A4712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Ovaj 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rezultat potvrđuje razmišljanje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kako bi s jedne strane izbor samo mjesta uzročnog događaja u znatnom broju slučajeva doveo do </w:t>
      </w:r>
      <w:r w:rsidR="00A4712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pre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klapanja sudskih nadležnosti predviđenih člancima 2. i 5. stav</w:t>
      </w:r>
      <w:r w:rsidR="00B77E3C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kom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3. Konvencije. Posljednja odredba time bi izgubila svoj praktičan učinak</w:t>
      </w:r>
      <w:r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4D390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21 </w:t>
      </w:r>
      <w:r w:rsidR="001B2C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druge strane</w:t>
      </w:r>
      <w:r w:rsidR="001B2C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odluka samo u prilog mjesta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gdje </w:t>
      </w:r>
      <w:r w:rsidR="002B22D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je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nastala šteta </w:t>
      </w:r>
      <w:r w:rsidR="001B2C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bi,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u slučaju </w:t>
      </w:r>
      <w:r w:rsidR="001B2C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nepodudaranja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mjesta </w:t>
      </w:r>
      <w:r w:rsidR="002B22D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štetnog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događaja i prebivališta odgovorne osobe</w:t>
      </w:r>
      <w:r w:rsidR="001B2C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,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1B2C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isključila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svrsishodnu </w:t>
      </w:r>
      <w:r w:rsidR="001B2C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poveznicu za nadležnost suda koji je blizak 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u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z</w:t>
      </w:r>
      <w:r w:rsidR="00926B0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roku štete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. </w:t>
      </w:r>
    </w:p>
    <w:p w:rsidR="004D390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22 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Osim toga, usporedba rješenja </w:t>
      </w:r>
      <w:r w:rsidR="001B2C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o sudskoj nadležnosti 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u nacionalnim pravnim porecima i sudskoj praksi država vezanih Konvencijom – kako na području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nacionalnih podjela između djelokrug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a sudova tako i kod međunarodnih nadležnosti – p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okazuje da se, iako </w:t>
      </w:r>
      <w:r w:rsidR="002B22D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putem različitih pravnih tehnika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, objema razmatranim poveznicama daje određeni prostor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, 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i to paralelno u različitim državama</w:t>
      </w:r>
      <w:r w:rsidR="002B22D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1A5740" w:rsidRPr="00767770" w:rsidRDefault="004D3900" w:rsidP="001A5740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23 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S obzirom na te okolnosti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, prednost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ovdje izneseno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g tumačenja jest </w:t>
      </w:r>
      <w:r w:rsidR="00322F3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što ono ne 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poništava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rješenja koja postoje u okviru raznih nacionalnih pravnih poredaka. </w:t>
      </w:r>
      <w:r w:rsidR="000F1D1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Ono 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teži objedinjavanju pravila u skladu s člankom 5. stavkom 3. Konvencije 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tako što 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strukturira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no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saž</w:t>
      </w:r>
      <w:r w:rsidR="00986D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ima</w:t>
      </w:r>
      <w:r w:rsidR="00960089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rješenja koja su u većini uključenih država načelno već prihvaćena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</w:p>
    <w:p w:rsidR="008968C7" w:rsidRDefault="004D3900" w:rsidP="008968C7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24</w:t>
      </w:r>
      <w:r w:rsidR="001A574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</w:t>
      </w:r>
      <w:r w:rsidR="0076777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ab/>
        <w:t xml:space="preserve">Odgovor stoga </w:t>
      </w:r>
      <w:r w:rsidR="000F1D1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treba </w:t>
      </w:r>
      <w:r w:rsidR="0076777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glasiti da ako mjesto gdje je nastupio događaj koji je mogao </w:t>
      </w:r>
      <w:r w:rsidR="000F1D1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uzrokovati </w:t>
      </w:r>
      <w:r w:rsidR="0076777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obvezu naknade štete nije mjesto gdje je iz tog događaja nastala šteta, pojam „mjesto gdje se dogodio štetni događaj“ iz članka 5. stavka 3. Konvencije od 27. rujna 1968. o sudskoj nadležnosti i ovrsi u građanskim i trgovačkim stvarima treba shvatiti tako da se odnosi </w:t>
      </w:r>
      <w:r w:rsidR="000F1D1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kako </w:t>
      </w:r>
      <w:r w:rsidR="0076777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na mjesto gdje je nastala šteta </w:t>
      </w:r>
      <w:r w:rsidR="000F1D1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tako </w:t>
      </w:r>
      <w:r w:rsidR="0076777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na mjesto događaja</w:t>
      </w:r>
      <w:r w:rsidR="000F1D1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 koji ju je uzrokovao</w:t>
      </w:r>
      <w:r w:rsidR="00767770" w:rsidRPr="007677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.</w:t>
      </w:r>
      <w:bookmarkEnd w:id="0"/>
    </w:p>
    <w:p w:rsidR="008968C7" w:rsidRPr="000F1D1E" w:rsidRDefault="008968C7" w:rsidP="008968C7">
      <w:pPr>
        <w:spacing w:before="147" w:after="147" w:line="240" w:lineRule="auto"/>
        <w:ind w:left="289" w:right="289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 xml:space="preserve">25 </w:t>
      </w:r>
      <w:r w:rsidRPr="008968C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hr-HR"/>
        </w:rPr>
        <w:t>Tuženik stoga, ovisno o izboru tužitelja, može biti tužen bilo pred sudom mjesta gdje je nastala šteta ili pred sudom mjesta događaja koji je uzrokovao štetu.</w:t>
      </w:r>
      <w:bookmarkStart w:id="1" w:name="_GoBack"/>
      <w:bookmarkEnd w:id="1"/>
    </w:p>
    <w:sectPr w:rsidR="008968C7" w:rsidRPr="000F1D1E" w:rsidSect="00960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compat>
    <w:useFELayout/>
  </w:compat>
  <w:rsids>
    <w:rsidRoot w:val="001A5740"/>
    <w:rsid w:val="000172B9"/>
    <w:rsid w:val="000234AF"/>
    <w:rsid w:val="00077065"/>
    <w:rsid w:val="000B6FC9"/>
    <w:rsid w:val="000F1D1E"/>
    <w:rsid w:val="0016266E"/>
    <w:rsid w:val="001A5740"/>
    <w:rsid w:val="001B2C93"/>
    <w:rsid w:val="001B2CE5"/>
    <w:rsid w:val="001D20DD"/>
    <w:rsid w:val="00216A5D"/>
    <w:rsid w:val="00295D97"/>
    <w:rsid w:val="002B22D3"/>
    <w:rsid w:val="00322F34"/>
    <w:rsid w:val="003508D0"/>
    <w:rsid w:val="00403ADF"/>
    <w:rsid w:val="004D3900"/>
    <w:rsid w:val="00523B01"/>
    <w:rsid w:val="00537E70"/>
    <w:rsid w:val="0054092E"/>
    <w:rsid w:val="005451E2"/>
    <w:rsid w:val="00581AAB"/>
    <w:rsid w:val="00596047"/>
    <w:rsid w:val="006063AB"/>
    <w:rsid w:val="0061440D"/>
    <w:rsid w:val="00617A31"/>
    <w:rsid w:val="006D23A4"/>
    <w:rsid w:val="00717286"/>
    <w:rsid w:val="00751DEC"/>
    <w:rsid w:val="00767770"/>
    <w:rsid w:val="0078004F"/>
    <w:rsid w:val="0079573C"/>
    <w:rsid w:val="008968C7"/>
    <w:rsid w:val="00897773"/>
    <w:rsid w:val="008C0B8C"/>
    <w:rsid w:val="008F04FE"/>
    <w:rsid w:val="0090124F"/>
    <w:rsid w:val="00926B09"/>
    <w:rsid w:val="00960089"/>
    <w:rsid w:val="00986D0E"/>
    <w:rsid w:val="00A47122"/>
    <w:rsid w:val="00A9741E"/>
    <w:rsid w:val="00AA747C"/>
    <w:rsid w:val="00AE5831"/>
    <w:rsid w:val="00B1539E"/>
    <w:rsid w:val="00B77E3C"/>
    <w:rsid w:val="00BD6DFA"/>
    <w:rsid w:val="00BF4B2D"/>
    <w:rsid w:val="00BF753A"/>
    <w:rsid w:val="00C32132"/>
    <w:rsid w:val="00D5113B"/>
    <w:rsid w:val="00DB238F"/>
    <w:rsid w:val="00DC4D2F"/>
    <w:rsid w:val="00DF2E98"/>
    <w:rsid w:val="00DF4B61"/>
    <w:rsid w:val="00E2013D"/>
    <w:rsid w:val="00E504BC"/>
    <w:rsid w:val="00E677AC"/>
    <w:rsid w:val="00EA7AAE"/>
    <w:rsid w:val="00EB0E20"/>
    <w:rsid w:val="00EB0F70"/>
    <w:rsid w:val="00F17697"/>
    <w:rsid w:val="00F43BF2"/>
    <w:rsid w:val="00F611E0"/>
    <w:rsid w:val="00F8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74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A574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1A5740"/>
    <w:rPr>
      <w:rFonts w:cs="Times New Roman"/>
    </w:rPr>
  </w:style>
  <w:style w:type="character" w:styleId="CommentReference">
    <w:name w:val="annotation reference"/>
    <w:basedOn w:val="DefaultParagraphFont"/>
    <w:rsid w:val="00295D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5D97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D97"/>
    <w:rPr>
      <w:b/>
      <w:bCs/>
    </w:rPr>
  </w:style>
  <w:style w:type="paragraph" w:styleId="BalloonText">
    <w:name w:val="Balloon Text"/>
    <w:basedOn w:val="Normal"/>
    <w:link w:val="BalloonTextChar"/>
    <w:rsid w:val="0029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5D9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0F8D-9C8C-4DE4-AA74-B84157F3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1233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Handelskwekerij G</vt:lpstr>
    </vt:vector>
  </TitlesOfParts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Handelskwekerij G</dc:title>
  <dc:creator>korisnik</dc:creator>
  <cp:lastModifiedBy>davor</cp:lastModifiedBy>
  <cp:revision>4</cp:revision>
  <cp:lastPrinted>2013-02-16T09:33:00Z</cp:lastPrinted>
  <dcterms:created xsi:type="dcterms:W3CDTF">2013-10-18T14:26:00Z</dcterms:created>
  <dcterms:modified xsi:type="dcterms:W3CDTF">2014-01-20T10:08:00Z</dcterms:modified>
</cp:coreProperties>
</file>