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99" w:rsidRDefault="00D25899" w:rsidP="00F0298C">
      <w:pPr>
        <w:pStyle w:val="c02alineaalta"/>
        <w:jc w:val="center"/>
        <w:rPr>
          <w:b/>
          <w:bCs/>
        </w:rPr>
      </w:pPr>
    </w:p>
    <w:p w:rsidR="0082530B" w:rsidRDefault="0082530B" w:rsidP="00F0298C">
      <w:pPr>
        <w:pStyle w:val="c02alineaalta"/>
        <w:jc w:val="center"/>
      </w:pPr>
      <w:r>
        <w:rPr>
          <w:b/>
          <w:bCs/>
        </w:rPr>
        <w:t>eDate Advertising GmbH</w:t>
      </w:r>
    </w:p>
    <w:p w:rsidR="0082530B" w:rsidRDefault="006D0B7C" w:rsidP="00F0298C">
      <w:pPr>
        <w:pStyle w:val="c02alineaalta"/>
        <w:jc w:val="center"/>
      </w:pPr>
      <w:r>
        <w:t xml:space="preserve">protiv </w:t>
      </w:r>
    </w:p>
    <w:p w:rsidR="0082530B" w:rsidRDefault="0082530B" w:rsidP="00F0298C">
      <w:pPr>
        <w:pStyle w:val="c02alineaalta"/>
        <w:jc w:val="center"/>
      </w:pPr>
      <w:r>
        <w:rPr>
          <w:b/>
          <w:bCs/>
        </w:rPr>
        <w:t>X</w:t>
      </w:r>
    </w:p>
    <w:p w:rsidR="0082530B" w:rsidRDefault="006D0B7C" w:rsidP="00F0298C">
      <w:pPr>
        <w:pStyle w:val="c19centre"/>
        <w:jc w:val="center"/>
      </w:pPr>
      <w:r>
        <w:t xml:space="preserve">i </w:t>
      </w:r>
    </w:p>
    <w:p w:rsidR="0082530B" w:rsidRDefault="0082530B" w:rsidP="00F0298C">
      <w:pPr>
        <w:pStyle w:val="c02alineaalta"/>
        <w:jc w:val="center"/>
      </w:pPr>
      <w:r>
        <w:rPr>
          <w:b/>
          <w:bCs/>
        </w:rPr>
        <w:t>Olivier Martinez,</w:t>
      </w:r>
    </w:p>
    <w:p w:rsidR="0082530B" w:rsidRDefault="0082530B" w:rsidP="00F0298C">
      <w:pPr>
        <w:pStyle w:val="c02alineaalta"/>
        <w:jc w:val="center"/>
      </w:pPr>
      <w:r>
        <w:rPr>
          <w:b/>
          <w:bCs/>
        </w:rPr>
        <w:t>Robert Martinez</w:t>
      </w:r>
    </w:p>
    <w:p w:rsidR="0082530B" w:rsidRDefault="006D0B7C" w:rsidP="00F0298C">
      <w:pPr>
        <w:pStyle w:val="c02alineaalta"/>
        <w:jc w:val="center"/>
      </w:pPr>
      <w:r>
        <w:t xml:space="preserve">protiv </w:t>
      </w:r>
    </w:p>
    <w:p w:rsidR="0082530B" w:rsidRDefault="0082530B" w:rsidP="00F0298C">
      <w:pPr>
        <w:pStyle w:val="c02alineaalta"/>
        <w:jc w:val="center"/>
      </w:pPr>
      <w:r>
        <w:rPr>
          <w:b/>
          <w:bCs/>
        </w:rPr>
        <w:t>MGN Limited</w:t>
      </w:r>
    </w:p>
    <w:p w:rsidR="00F0298C" w:rsidRDefault="00F0298C" w:rsidP="00F0298C">
      <w:pPr>
        <w:pStyle w:val="c02alineaalta"/>
        <w:jc w:val="center"/>
      </w:pPr>
      <w:r>
        <w:t>povezani predmeti C</w:t>
      </w:r>
      <w:r>
        <w:noBreakHyphen/>
        <w:t xml:space="preserve">509/09 </w:t>
      </w:r>
      <w:r w:rsidR="006D0B7C">
        <w:t xml:space="preserve">i </w:t>
      </w:r>
      <w:r>
        <w:t>C</w:t>
      </w:r>
      <w:r>
        <w:noBreakHyphen/>
        <w:t>161/10</w:t>
      </w:r>
    </w:p>
    <w:p w:rsidR="00F0298C" w:rsidRDefault="006D0B7C" w:rsidP="00F0298C">
      <w:pPr>
        <w:pStyle w:val="c19centre"/>
        <w:jc w:val="center"/>
      </w:pPr>
      <w:r>
        <w:t>25. listopada</w:t>
      </w:r>
      <w:r w:rsidR="00F0298C">
        <w:t xml:space="preserve"> 2011</w:t>
      </w:r>
      <w:r>
        <w:t>.</w:t>
      </w:r>
    </w:p>
    <w:p w:rsidR="009F5CFD" w:rsidRPr="009F5CFD" w:rsidRDefault="009F5CFD" w:rsidP="009F5CFD">
      <w:pPr>
        <w:pStyle w:val="c41dispositifintroduction"/>
        <w:jc w:val="center"/>
        <w:rPr>
          <w:i/>
        </w:rPr>
      </w:pPr>
      <w:r w:rsidRPr="009F5CFD">
        <w:rPr>
          <w:i/>
        </w:rPr>
        <w:t xml:space="preserve">Uredba (EZ) br. 44/2001 – nadležnost i priznanje i ovrha sudskih odluka u građanskim i trgovačkim stvarima – nadležnost za tužbu zbog </w:t>
      </w:r>
      <w:r w:rsidR="00B208C8">
        <w:rPr>
          <w:i/>
        </w:rPr>
        <w:t>„</w:t>
      </w:r>
      <w:r w:rsidRPr="009F5CFD">
        <w:rPr>
          <w:i/>
        </w:rPr>
        <w:t>izvanugovorne odgovornosti za štetu ili odgovornosti koja je izjednačena s tom odgovornosti</w:t>
      </w:r>
      <w:r w:rsidR="00B208C8">
        <w:rPr>
          <w:i/>
        </w:rPr>
        <w:t>“</w:t>
      </w:r>
      <w:r w:rsidRPr="009F5CFD">
        <w:rPr>
          <w:i/>
        </w:rPr>
        <w:t xml:space="preserve"> – Direktiva 2000/31/EZ – objava informacija na internetu – povreda prava osobnosti – mjesto na kojem se štetni događaj dogodio ili gdje bi se mogao dogoditi – mjerodavno pravo za usluge informatičkog društva</w:t>
      </w:r>
    </w:p>
    <w:p w:rsidR="00D25899" w:rsidRDefault="00D25899" w:rsidP="00B65BFE">
      <w:pPr>
        <w:pStyle w:val="c08dispositif"/>
        <w:spacing w:before="0" w:beforeAutospacing="0" w:after="0" w:afterAutospacing="0"/>
      </w:pPr>
    </w:p>
    <w:p w:rsidR="00D25899" w:rsidRDefault="00D25899" w:rsidP="00B65BFE">
      <w:pPr>
        <w:pStyle w:val="c08dispositif"/>
        <w:spacing w:before="0" w:beforeAutospacing="0" w:after="0" w:afterAutospacing="0"/>
      </w:pPr>
    </w:p>
    <w:p w:rsidR="00D25899" w:rsidRDefault="00D25899" w:rsidP="00B65BFE">
      <w:pPr>
        <w:pStyle w:val="c08dispositif"/>
        <w:spacing w:before="0" w:beforeAutospacing="0" w:after="0" w:afterAutospacing="0"/>
      </w:pPr>
      <w:r>
        <w:t>IZREKA:</w:t>
      </w:r>
    </w:p>
    <w:p w:rsidR="00D25899" w:rsidRDefault="00D25899" w:rsidP="00B65BFE">
      <w:pPr>
        <w:pStyle w:val="c08dispositif"/>
        <w:spacing w:before="0" w:beforeAutospacing="0" w:after="0" w:afterAutospacing="0"/>
      </w:pPr>
    </w:p>
    <w:p w:rsidR="00F0298C" w:rsidRDefault="00F0298C" w:rsidP="00B65BFE">
      <w:pPr>
        <w:pStyle w:val="c08dispositif"/>
        <w:spacing w:before="0" w:beforeAutospacing="0" w:after="0" w:afterAutospacing="0"/>
        <w:rPr>
          <w:b/>
          <w:bCs/>
        </w:rPr>
      </w:pPr>
      <w:r>
        <w:t>1.      </w:t>
      </w:r>
      <w:r w:rsidR="00164AED">
        <w:rPr>
          <w:b/>
          <w:bCs/>
        </w:rPr>
        <w:t xml:space="preserve">Članak 5. stavak 3. Uredbe Vijeća (EZ) br. 44/2001 od 22. prosinca 2000. o nadležnosti i priznanju i ovrsi sudskih odluka u građanskim i trgovačkim stvarima treba tumačiti tako da se u slučaju </w:t>
      </w:r>
      <w:r w:rsidR="00A56C67">
        <w:rPr>
          <w:b/>
          <w:bCs/>
        </w:rPr>
        <w:t xml:space="preserve">navodne </w:t>
      </w:r>
      <w:r w:rsidR="00AB381A">
        <w:rPr>
          <w:b/>
          <w:bCs/>
        </w:rPr>
        <w:t xml:space="preserve">povrede prava osobnosti </w:t>
      </w:r>
      <w:r w:rsidR="00DF77C8">
        <w:rPr>
          <w:b/>
          <w:bCs/>
        </w:rPr>
        <w:t xml:space="preserve">putem sadržaja </w:t>
      </w:r>
      <w:r w:rsidR="00164AED">
        <w:rPr>
          <w:b/>
          <w:bCs/>
        </w:rPr>
        <w:t>koji su objavljeni na nekoj internetskoj stranici, osoba</w:t>
      </w:r>
      <w:r w:rsidR="00B208C8">
        <w:rPr>
          <w:b/>
          <w:bCs/>
        </w:rPr>
        <w:t xml:space="preserve"> koja</w:t>
      </w:r>
      <w:r w:rsidR="00164AED">
        <w:rPr>
          <w:b/>
          <w:bCs/>
        </w:rPr>
        <w:t xml:space="preserve"> </w:t>
      </w:r>
      <w:r w:rsidR="00A56C67">
        <w:rPr>
          <w:b/>
          <w:bCs/>
        </w:rPr>
        <w:t xml:space="preserve">smatra </w:t>
      </w:r>
      <w:r w:rsidR="00164AED">
        <w:rPr>
          <w:b/>
          <w:bCs/>
        </w:rPr>
        <w:t>da su njezina prava povr</w:t>
      </w:r>
      <w:r w:rsidR="00640E1E">
        <w:rPr>
          <w:b/>
          <w:bCs/>
        </w:rPr>
        <w:t>i</w:t>
      </w:r>
      <w:r w:rsidR="00164AED">
        <w:rPr>
          <w:b/>
          <w:bCs/>
        </w:rPr>
        <w:t>jeđe</w:t>
      </w:r>
      <w:r w:rsidR="00640E1E">
        <w:rPr>
          <w:b/>
          <w:bCs/>
        </w:rPr>
        <w:t>na ima mogućnost</w:t>
      </w:r>
      <w:r w:rsidR="00AB381A">
        <w:rPr>
          <w:b/>
          <w:bCs/>
        </w:rPr>
        <w:t xml:space="preserve"> </w:t>
      </w:r>
      <w:r w:rsidR="00A56C67">
        <w:rPr>
          <w:b/>
          <w:bCs/>
        </w:rPr>
        <w:t xml:space="preserve">podnijeti </w:t>
      </w:r>
      <w:r w:rsidR="00AB381A">
        <w:rPr>
          <w:b/>
          <w:bCs/>
        </w:rPr>
        <w:t xml:space="preserve">tužbu </w:t>
      </w:r>
      <w:r w:rsidR="00A56C67">
        <w:rPr>
          <w:b/>
          <w:bCs/>
        </w:rPr>
        <w:t xml:space="preserve">za </w:t>
      </w:r>
      <w:r w:rsidR="00AB381A">
        <w:rPr>
          <w:b/>
          <w:bCs/>
        </w:rPr>
        <w:t>nakna</w:t>
      </w:r>
      <w:r w:rsidR="00164AED">
        <w:rPr>
          <w:b/>
          <w:bCs/>
        </w:rPr>
        <w:t>du cjelok</w:t>
      </w:r>
      <w:r w:rsidR="00640E1E">
        <w:rPr>
          <w:b/>
          <w:bCs/>
        </w:rPr>
        <w:t>upn</w:t>
      </w:r>
      <w:r w:rsidR="00A56C67">
        <w:rPr>
          <w:b/>
          <w:bCs/>
        </w:rPr>
        <w:t xml:space="preserve">e </w:t>
      </w:r>
      <w:r w:rsidR="00640E1E">
        <w:rPr>
          <w:b/>
          <w:bCs/>
        </w:rPr>
        <w:t xml:space="preserve">štete </w:t>
      </w:r>
      <w:r w:rsidR="00A56C67">
        <w:rPr>
          <w:b/>
          <w:bCs/>
        </w:rPr>
        <w:t xml:space="preserve">bilo </w:t>
      </w:r>
      <w:r w:rsidR="00164AED">
        <w:rPr>
          <w:b/>
          <w:bCs/>
        </w:rPr>
        <w:t xml:space="preserve">pred sudovima države članice u kojoj autor tih sadržaja ima svoj </w:t>
      </w:r>
      <w:r w:rsidR="00640E1E">
        <w:rPr>
          <w:b/>
          <w:bCs/>
        </w:rPr>
        <w:t xml:space="preserve">poslovni </w:t>
      </w:r>
      <w:r w:rsidR="00164AED">
        <w:rPr>
          <w:b/>
          <w:bCs/>
        </w:rPr>
        <w:t>nastan</w:t>
      </w:r>
      <w:r w:rsidR="00A56C67">
        <w:rPr>
          <w:b/>
          <w:bCs/>
        </w:rPr>
        <w:t xml:space="preserve">, bilo </w:t>
      </w:r>
      <w:r w:rsidR="00164AED">
        <w:rPr>
          <w:b/>
          <w:bCs/>
        </w:rPr>
        <w:t>pred sudovim</w:t>
      </w:r>
      <w:r w:rsidR="00A56C67">
        <w:rPr>
          <w:b/>
          <w:bCs/>
        </w:rPr>
        <w:t>a</w:t>
      </w:r>
      <w:r w:rsidR="00164AED">
        <w:rPr>
          <w:b/>
          <w:bCs/>
        </w:rPr>
        <w:t xml:space="preserve"> države članice</w:t>
      </w:r>
      <w:r w:rsidR="00A56C67">
        <w:rPr>
          <w:b/>
          <w:bCs/>
        </w:rPr>
        <w:t xml:space="preserve"> </w:t>
      </w:r>
      <w:r w:rsidR="00164AED">
        <w:rPr>
          <w:b/>
          <w:bCs/>
        </w:rPr>
        <w:t>u kojoj se nalazi središte njezinih i</w:t>
      </w:r>
      <w:r w:rsidR="00AB381A">
        <w:rPr>
          <w:b/>
          <w:bCs/>
        </w:rPr>
        <w:t xml:space="preserve">nteresa. Umjesto tužbe </w:t>
      </w:r>
      <w:r w:rsidR="00A56C67">
        <w:rPr>
          <w:b/>
          <w:bCs/>
        </w:rPr>
        <w:t xml:space="preserve">za naknadu </w:t>
      </w:r>
      <w:r w:rsidR="00164AED">
        <w:rPr>
          <w:b/>
          <w:bCs/>
        </w:rPr>
        <w:t>cjelokupn</w:t>
      </w:r>
      <w:r w:rsidR="00A56C67">
        <w:rPr>
          <w:b/>
          <w:bCs/>
        </w:rPr>
        <w:t>e</w:t>
      </w:r>
      <w:r w:rsidR="00164AED">
        <w:rPr>
          <w:b/>
          <w:bCs/>
        </w:rPr>
        <w:t xml:space="preserve"> štete ta osoba tužbu može </w:t>
      </w:r>
      <w:r w:rsidR="00A56C67">
        <w:rPr>
          <w:b/>
          <w:bCs/>
        </w:rPr>
        <w:t xml:space="preserve">podnijeti </w:t>
      </w:r>
      <w:r w:rsidR="00164AED">
        <w:rPr>
          <w:b/>
          <w:bCs/>
        </w:rPr>
        <w:t xml:space="preserve">i pred sudovima </w:t>
      </w:r>
      <w:r w:rsidR="00A56C67">
        <w:rPr>
          <w:b/>
          <w:bCs/>
        </w:rPr>
        <w:t xml:space="preserve">bilo koje </w:t>
      </w:r>
      <w:r w:rsidR="00164AED">
        <w:rPr>
          <w:b/>
          <w:bCs/>
        </w:rPr>
        <w:t>države članice</w:t>
      </w:r>
      <w:r w:rsidR="00A56C67">
        <w:rPr>
          <w:b/>
          <w:bCs/>
        </w:rPr>
        <w:t xml:space="preserve"> </w:t>
      </w:r>
      <w:r w:rsidR="00164AED">
        <w:rPr>
          <w:b/>
          <w:bCs/>
        </w:rPr>
        <w:t xml:space="preserve">na čijem </w:t>
      </w:r>
      <w:r w:rsidR="00640E1E">
        <w:rPr>
          <w:b/>
          <w:bCs/>
        </w:rPr>
        <w:t xml:space="preserve">je </w:t>
      </w:r>
      <w:r w:rsidR="00164AED">
        <w:rPr>
          <w:b/>
          <w:bCs/>
        </w:rPr>
        <w:t>područj</w:t>
      </w:r>
      <w:r w:rsidR="00640E1E">
        <w:rPr>
          <w:b/>
          <w:bCs/>
        </w:rPr>
        <w:t xml:space="preserve">u </w:t>
      </w:r>
      <w:r w:rsidR="00AB381A">
        <w:rPr>
          <w:b/>
          <w:bCs/>
        </w:rPr>
        <w:t>sadržaj</w:t>
      </w:r>
      <w:r w:rsidR="00A56C67">
        <w:rPr>
          <w:b/>
          <w:bCs/>
        </w:rPr>
        <w:t xml:space="preserve"> </w:t>
      </w:r>
      <w:r w:rsidR="00640E1E">
        <w:rPr>
          <w:b/>
          <w:bCs/>
        </w:rPr>
        <w:t xml:space="preserve">koji je </w:t>
      </w:r>
      <w:r w:rsidR="00AB381A">
        <w:rPr>
          <w:b/>
          <w:bCs/>
        </w:rPr>
        <w:t>objavljen na inter</w:t>
      </w:r>
      <w:r w:rsidR="00164AED">
        <w:rPr>
          <w:b/>
          <w:bCs/>
        </w:rPr>
        <w:t>n</w:t>
      </w:r>
      <w:r w:rsidR="00AB381A">
        <w:rPr>
          <w:b/>
          <w:bCs/>
        </w:rPr>
        <w:t>e</w:t>
      </w:r>
      <w:r w:rsidR="00164AED">
        <w:rPr>
          <w:b/>
          <w:bCs/>
        </w:rPr>
        <w:t>tu</w:t>
      </w:r>
      <w:r w:rsidR="00A56C67">
        <w:rPr>
          <w:b/>
          <w:bCs/>
        </w:rPr>
        <w:t xml:space="preserve"> </w:t>
      </w:r>
      <w:r w:rsidR="00164AED">
        <w:rPr>
          <w:b/>
          <w:bCs/>
        </w:rPr>
        <w:t xml:space="preserve">dostupan ili je bio dostupan. Ti su sudovi nadležni samo za odlučivanje o šteti koja je prouzročena na </w:t>
      </w:r>
      <w:r w:rsidR="00A56C67">
        <w:rPr>
          <w:b/>
          <w:bCs/>
        </w:rPr>
        <w:t xml:space="preserve">području </w:t>
      </w:r>
      <w:r w:rsidR="00164AED">
        <w:rPr>
          <w:b/>
          <w:bCs/>
        </w:rPr>
        <w:t xml:space="preserve">države članice </w:t>
      </w:r>
      <w:r w:rsidR="00640E1E">
        <w:rPr>
          <w:b/>
          <w:bCs/>
        </w:rPr>
        <w:t>u kojoj se nalazi sud</w:t>
      </w:r>
      <w:r w:rsidR="00164AED">
        <w:rPr>
          <w:b/>
          <w:bCs/>
        </w:rPr>
        <w:t xml:space="preserve"> pred kojim je </w:t>
      </w:r>
      <w:r w:rsidR="00A56C67">
        <w:rPr>
          <w:b/>
          <w:bCs/>
        </w:rPr>
        <w:t xml:space="preserve">podnesena </w:t>
      </w:r>
      <w:r w:rsidR="00164AED">
        <w:rPr>
          <w:b/>
          <w:bCs/>
        </w:rPr>
        <w:t xml:space="preserve">tužba. </w:t>
      </w:r>
    </w:p>
    <w:p w:rsidR="00AB381A" w:rsidRDefault="00AB381A" w:rsidP="00B65BFE">
      <w:pPr>
        <w:pStyle w:val="c08dispositif"/>
        <w:spacing w:before="0" w:beforeAutospacing="0" w:after="0" w:afterAutospacing="0"/>
      </w:pPr>
    </w:p>
    <w:p w:rsidR="00B65BFE" w:rsidRPr="00B65BFE" w:rsidRDefault="00F0298C" w:rsidP="00B65BFE">
      <w:pPr>
        <w:pStyle w:val="c08dispositif"/>
        <w:spacing w:before="0" w:beforeAutospacing="0" w:after="0" w:afterAutospacing="0"/>
        <w:rPr>
          <w:b/>
          <w:bCs/>
        </w:rPr>
      </w:pPr>
      <w:r>
        <w:t>2.      </w:t>
      </w:r>
      <w:r w:rsidR="00B65BFE">
        <w:rPr>
          <w:b/>
          <w:bCs/>
        </w:rPr>
        <w:t>Članak 3. Direktive</w:t>
      </w:r>
      <w:r w:rsidR="00B65BFE" w:rsidRPr="00B65BFE">
        <w:rPr>
          <w:b/>
          <w:bCs/>
        </w:rPr>
        <w:t xml:space="preserve"> 2000/31/EZ Europskog Parlamenta i Vijeća od 8. lipnja 2000. o </w:t>
      </w:r>
    </w:p>
    <w:p w:rsidR="00B65BFE" w:rsidRPr="00B65BFE" w:rsidRDefault="00B65BFE" w:rsidP="00B65BFE">
      <w:pPr>
        <w:pStyle w:val="c08dispositif"/>
        <w:spacing w:before="0" w:beforeAutospacing="0" w:after="0" w:afterAutospacing="0"/>
        <w:rPr>
          <w:b/>
          <w:bCs/>
        </w:rPr>
      </w:pPr>
      <w:r w:rsidRPr="00B65BFE">
        <w:rPr>
          <w:b/>
          <w:bCs/>
        </w:rPr>
        <w:t>pojedinim pra</w:t>
      </w:r>
      <w:r>
        <w:rPr>
          <w:b/>
          <w:bCs/>
        </w:rPr>
        <w:t>vnim aspektima usluga informatič</w:t>
      </w:r>
      <w:r w:rsidRPr="00B65BFE">
        <w:rPr>
          <w:b/>
          <w:bCs/>
        </w:rPr>
        <w:t xml:space="preserve">kog društva na unutarnjem </w:t>
      </w:r>
    </w:p>
    <w:p w:rsidR="00F0298C" w:rsidRDefault="00B65BFE" w:rsidP="00B65BFE">
      <w:pPr>
        <w:pStyle w:val="c08dispositif"/>
        <w:spacing w:before="0" w:beforeAutospacing="0" w:after="0" w:afterAutospacing="0"/>
      </w:pPr>
      <w:r>
        <w:rPr>
          <w:b/>
          <w:bCs/>
        </w:rPr>
        <w:t>tržištu, posebice elektronič</w:t>
      </w:r>
      <w:r w:rsidRPr="00B65BFE">
        <w:rPr>
          <w:b/>
          <w:bCs/>
        </w:rPr>
        <w:t>ke trgovine</w:t>
      </w:r>
      <w:r>
        <w:rPr>
          <w:b/>
          <w:bCs/>
        </w:rPr>
        <w:t xml:space="preserve"> </w:t>
      </w:r>
      <w:r w:rsidR="00D25899">
        <w:rPr>
          <w:b/>
          <w:bCs/>
        </w:rPr>
        <w:t>(</w:t>
      </w:r>
      <w:r w:rsidR="00B208C8">
        <w:rPr>
          <w:b/>
          <w:bCs/>
        </w:rPr>
        <w:t>„</w:t>
      </w:r>
      <w:r w:rsidR="00D25899">
        <w:rPr>
          <w:b/>
          <w:bCs/>
        </w:rPr>
        <w:t>Direktiva o elektronič</w:t>
      </w:r>
      <w:r w:rsidRPr="00B65BFE">
        <w:rPr>
          <w:b/>
          <w:bCs/>
        </w:rPr>
        <w:t>koj trgovini</w:t>
      </w:r>
      <w:r w:rsidR="00B208C8">
        <w:rPr>
          <w:b/>
          <w:bCs/>
        </w:rPr>
        <w:t>“</w:t>
      </w:r>
      <w:r w:rsidRPr="00B65BFE">
        <w:rPr>
          <w:b/>
          <w:bCs/>
        </w:rPr>
        <w:t>)</w:t>
      </w:r>
      <w:r>
        <w:rPr>
          <w:b/>
          <w:bCs/>
        </w:rPr>
        <w:t xml:space="preserve"> tr</w:t>
      </w:r>
      <w:r w:rsidR="001C3340">
        <w:rPr>
          <w:b/>
          <w:bCs/>
        </w:rPr>
        <w:t>eba</w:t>
      </w:r>
      <w:r w:rsidR="008D0D80">
        <w:rPr>
          <w:b/>
          <w:bCs/>
        </w:rPr>
        <w:t xml:space="preserve"> tumačiti tako </w:t>
      </w:r>
      <w:r>
        <w:rPr>
          <w:b/>
          <w:bCs/>
        </w:rPr>
        <w:t xml:space="preserve">da ne </w:t>
      </w:r>
      <w:r w:rsidR="001C3340">
        <w:rPr>
          <w:b/>
          <w:bCs/>
        </w:rPr>
        <w:t xml:space="preserve">on </w:t>
      </w:r>
      <w:r>
        <w:rPr>
          <w:b/>
          <w:bCs/>
        </w:rPr>
        <w:t>zahtijeva implementaciju u obliku posebnog kolizijskog pravila. No, države članice</w:t>
      </w:r>
      <w:r w:rsidR="001C3340">
        <w:rPr>
          <w:b/>
          <w:bCs/>
        </w:rPr>
        <w:t>,</w:t>
      </w:r>
      <w:r>
        <w:rPr>
          <w:b/>
          <w:bCs/>
        </w:rPr>
        <w:t xml:space="preserve"> podlo</w:t>
      </w:r>
      <w:r w:rsidR="001C3340">
        <w:rPr>
          <w:b/>
          <w:bCs/>
        </w:rPr>
        <w:t>žno iznimkama koje su dopuštene</w:t>
      </w:r>
      <w:r>
        <w:rPr>
          <w:b/>
          <w:bCs/>
        </w:rPr>
        <w:t xml:space="preserve"> ako su ispunjeni uvjeti iz članka 3. stavka 4. Direktive </w:t>
      </w:r>
      <w:r w:rsidR="00F0298C">
        <w:rPr>
          <w:b/>
          <w:bCs/>
        </w:rPr>
        <w:t>2001/31</w:t>
      </w:r>
      <w:r w:rsidR="00920CE6">
        <w:rPr>
          <w:b/>
          <w:bCs/>
        </w:rPr>
        <w:t xml:space="preserve">, </w:t>
      </w:r>
      <w:r w:rsidR="00AB381A">
        <w:rPr>
          <w:b/>
          <w:bCs/>
        </w:rPr>
        <w:t xml:space="preserve">moraju </w:t>
      </w:r>
      <w:r w:rsidR="00920CE6">
        <w:rPr>
          <w:b/>
          <w:bCs/>
        </w:rPr>
        <w:t xml:space="preserve">osigurati u području </w:t>
      </w:r>
      <w:r w:rsidR="001C3340">
        <w:rPr>
          <w:b/>
          <w:bCs/>
        </w:rPr>
        <w:t xml:space="preserve">koordinacije </w:t>
      </w:r>
      <w:r w:rsidR="00920CE6">
        <w:rPr>
          <w:b/>
          <w:bCs/>
        </w:rPr>
        <w:t xml:space="preserve">da se na </w:t>
      </w:r>
      <w:r w:rsidR="00920CE6">
        <w:rPr>
          <w:b/>
          <w:bCs/>
        </w:rPr>
        <w:lastRenderedPageBreak/>
        <w:t>ponuđača elektroničke trgovine ne primj</w:t>
      </w:r>
      <w:r w:rsidR="00AB381A">
        <w:rPr>
          <w:b/>
          <w:bCs/>
        </w:rPr>
        <w:t>enjuju stroži zahtjevi nego što</w:t>
      </w:r>
      <w:r w:rsidR="00920CE6">
        <w:rPr>
          <w:b/>
          <w:bCs/>
        </w:rPr>
        <w:t xml:space="preserve"> ih p</w:t>
      </w:r>
      <w:r w:rsidR="00AB381A">
        <w:rPr>
          <w:b/>
          <w:bCs/>
        </w:rPr>
        <w:t xml:space="preserve">redviđa </w:t>
      </w:r>
      <w:r w:rsidR="00C27942">
        <w:rPr>
          <w:b/>
          <w:bCs/>
        </w:rPr>
        <w:t xml:space="preserve">materijalno </w:t>
      </w:r>
      <w:r w:rsidR="00AB381A">
        <w:rPr>
          <w:b/>
          <w:bCs/>
        </w:rPr>
        <w:t xml:space="preserve">pravo koje vrijedi </w:t>
      </w:r>
      <w:r w:rsidR="001C3340">
        <w:rPr>
          <w:b/>
          <w:bCs/>
        </w:rPr>
        <w:t>u državi članici u kojoj se nalazi sjedište</w:t>
      </w:r>
      <w:r w:rsidR="00920CE6">
        <w:rPr>
          <w:b/>
          <w:bCs/>
        </w:rPr>
        <w:t xml:space="preserve"> tog ponuđača. </w:t>
      </w:r>
    </w:p>
    <w:p w:rsidR="0082530B" w:rsidRDefault="0082530B" w:rsidP="0082530B">
      <w:pPr>
        <w:pStyle w:val="c75debutdesmotifs"/>
        <w:rPr>
          <w:b/>
          <w:bCs/>
        </w:rPr>
      </w:pPr>
    </w:p>
    <w:p w:rsidR="00F0298C" w:rsidRDefault="00F0298C" w:rsidP="0082530B">
      <w:pPr>
        <w:pStyle w:val="c75debutdesmotifs"/>
      </w:pPr>
      <w:r>
        <w:t>IZ OBRAZLOŽENJA:</w:t>
      </w:r>
    </w:p>
    <w:p w:rsidR="00BC1DD3" w:rsidRDefault="0082530B" w:rsidP="00BC1DD3">
      <w:pPr>
        <w:pStyle w:val="c01pointnumerotealtn"/>
        <w:spacing w:before="0" w:beforeAutospacing="0" w:after="0" w:afterAutospacing="0"/>
      </w:pPr>
      <w:bookmarkStart w:id="0" w:name="point1"/>
      <w:r>
        <w:t>1</w:t>
      </w:r>
      <w:bookmarkEnd w:id="0"/>
      <w:r>
        <w:t>        </w:t>
      </w:r>
      <w:r w:rsidR="00BC1DD3">
        <w:t>Z</w:t>
      </w:r>
      <w:r w:rsidR="00BD2ABD">
        <w:t>ahtjevi za prethodnim tumačenjem odnose se na tumačenje članka 5. stavka 3. Uredbe Vijeća (EZ) b</w:t>
      </w:r>
      <w:r>
        <w:t xml:space="preserve">r. 44/2001 </w:t>
      </w:r>
      <w:r w:rsidR="00BD2ABD" w:rsidRPr="00BD2ABD">
        <w:rPr>
          <w:bCs/>
        </w:rPr>
        <w:t xml:space="preserve">od 22. prosinca 2000. o nadležnosti i priznanju i ovrsi sudskih odluka u građanskim i trgovačkim stvarima </w:t>
      </w:r>
      <w:r>
        <w:t>(</w:t>
      </w:r>
      <w:r w:rsidR="00BD2ABD">
        <w:t>Sl. 2001, L 12, str</w:t>
      </w:r>
      <w:r>
        <w:t>. 1</w:t>
      </w:r>
      <w:r w:rsidR="00B208C8">
        <w:t>.</w:t>
      </w:r>
      <w:r>
        <w:t xml:space="preserve">, </w:t>
      </w:r>
      <w:r w:rsidR="00BD2ABD">
        <w:t>u nastavku: Uredba) te članka 3. stav</w:t>
      </w:r>
      <w:r w:rsidR="00B208C8">
        <w:t>a</w:t>
      </w:r>
      <w:r w:rsidR="00BD2ABD">
        <w:t xml:space="preserve">ka 1. i 2. Direktive </w:t>
      </w:r>
      <w:r w:rsidR="00BC1DD3">
        <w:t>2000/31/EZ</w:t>
      </w:r>
      <w:r>
        <w:t xml:space="preserve"> </w:t>
      </w:r>
      <w:r w:rsidR="00BC1DD3">
        <w:t>Europskog Parlamenta i Vijeća od 8. lipnja 2000. o pojedinim pravnim aspektima usluga informati</w:t>
      </w:r>
      <w:r w:rsidR="00D25899">
        <w:t>č</w:t>
      </w:r>
      <w:r w:rsidR="00BC1DD3">
        <w:t xml:space="preserve">kog društva na unutarnjem </w:t>
      </w:r>
    </w:p>
    <w:p w:rsidR="0082530B" w:rsidRDefault="00BC1DD3" w:rsidP="00BC1DD3">
      <w:pPr>
        <w:pStyle w:val="c01pointnumerotealtn"/>
        <w:spacing w:before="0" w:beforeAutospacing="0" w:after="0" w:afterAutospacing="0"/>
      </w:pPr>
      <w:r>
        <w:t>tržištu, posebice elektroni</w:t>
      </w:r>
      <w:r w:rsidR="00D25899">
        <w:t>č</w:t>
      </w:r>
      <w:r>
        <w:t xml:space="preserve">ke trgovine, </w:t>
      </w:r>
      <w:r w:rsidR="00B208C8">
        <w:t>(„</w:t>
      </w:r>
      <w:r>
        <w:t>Direktiva o elektroni</w:t>
      </w:r>
      <w:r w:rsidR="00D25899">
        <w:t>č</w:t>
      </w:r>
      <w:r>
        <w:t>koj trgovini</w:t>
      </w:r>
      <w:r w:rsidR="00B208C8">
        <w:t>“</w:t>
      </w:r>
      <w:r>
        <w:t xml:space="preserve">) </w:t>
      </w:r>
      <w:r w:rsidR="0082530B">
        <w:t>(</w:t>
      </w:r>
      <w:r>
        <w:t>Sl. L 178, str</w:t>
      </w:r>
      <w:r w:rsidR="0082530B">
        <w:t>. 1</w:t>
      </w:r>
      <w:r w:rsidR="00B208C8">
        <w:t>.</w:t>
      </w:r>
      <w:r w:rsidR="0082530B">
        <w:t>,</w:t>
      </w:r>
      <w:r>
        <w:t xml:space="preserve"> u nastavku: Direktiva)</w:t>
      </w:r>
      <w:r w:rsidR="0082530B">
        <w:t xml:space="preserve">. </w:t>
      </w:r>
    </w:p>
    <w:p w:rsidR="0082530B" w:rsidRDefault="0082530B" w:rsidP="0082530B">
      <w:pPr>
        <w:pStyle w:val="c01pointnumerotealtn"/>
      </w:pPr>
      <w:bookmarkStart w:id="1" w:name="point2"/>
      <w:r>
        <w:t>2</w:t>
      </w:r>
      <w:bookmarkEnd w:id="1"/>
      <w:r>
        <w:t>        </w:t>
      </w:r>
      <w:r w:rsidR="00BC1DD3">
        <w:t xml:space="preserve">Ti su zahtjevi </w:t>
      </w:r>
      <w:r w:rsidR="00A56C67">
        <w:t xml:space="preserve">podneseni </w:t>
      </w:r>
      <w:r w:rsidR="00BC1DD3">
        <w:t>u okviru dva</w:t>
      </w:r>
      <w:r w:rsidR="001C3340">
        <w:t xml:space="preserve">ju </w:t>
      </w:r>
      <w:r w:rsidR="00A56C67">
        <w:t>postupaka</w:t>
      </w:r>
      <w:r w:rsidR="00892DC8">
        <w:t xml:space="preserve">: jednog </w:t>
      </w:r>
      <w:r w:rsidR="00BC1DD3">
        <w:t xml:space="preserve">između gospodina </w:t>
      </w:r>
      <w:r>
        <w:t xml:space="preserve">X </w:t>
      </w:r>
      <w:r w:rsidR="00BC1DD3">
        <w:t xml:space="preserve">i društva </w:t>
      </w:r>
      <w:r>
        <w:t>eDate Advertising GmbH (</w:t>
      </w:r>
      <w:r w:rsidR="00BC1DD3">
        <w:t xml:space="preserve">u nastavku: eDate Advertising), a </w:t>
      </w:r>
      <w:r w:rsidR="00892DC8">
        <w:t xml:space="preserve">drugog </w:t>
      </w:r>
      <w:r w:rsidR="00BC1DD3">
        <w:t xml:space="preserve">između gospodina </w:t>
      </w:r>
      <w:r>
        <w:t>Olivier</w:t>
      </w:r>
      <w:r w:rsidR="00BC1DD3">
        <w:t>a</w:t>
      </w:r>
      <w:r>
        <w:t xml:space="preserve"> Martinez</w:t>
      </w:r>
      <w:r w:rsidR="00BC1DD3">
        <w:t>a</w:t>
      </w:r>
      <w:r>
        <w:t xml:space="preserve"> </w:t>
      </w:r>
      <w:r w:rsidR="00BC1DD3">
        <w:t xml:space="preserve">i gospodina </w:t>
      </w:r>
      <w:r>
        <w:t>Robert</w:t>
      </w:r>
      <w:r w:rsidR="00BC1DD3">
        <w:t>a</w:t>
      </w:r>
      <w:r>
        <w:t xml:space="preserve"> Martinez</w:t>
      </w:r>
      <w:r w:rsidR="00BC1DD3">
        <w:t>a</w:t>
      </w:r>
      <w:r>
        <w:t xml:space="preserve"> </w:t>
      </w:r>
      <w:r w:rsidR="00BC1DD3">
        <w:t xml:space="preserve">s jedne strane i društva </w:t>
      </w:r>
      <w:r>
        <w:t>MGN Limited (</w:t>
      </w:r>
      <w:r w:rsidR="00BC1DD3">
        <w:t xml:space="preserve">u nastavku: </w:t>
      </w:r>
      <w:r>
        <w:t xml:space="preserve">MGN) </w:t>
      </w:r>
      <w:r w:rsidR="00BC1DD3">
        <w:t>s druge strane, a zbog građanskopravne odgovornosti tuženih u vezi s informacijama i fotografijama objavljenim</w:t>
      </w:r>
      <w:r w:rsidR="00892DC8">
        <w:t>a</w:t>
      </w:r>
      <w:r w:rsidR="00BC1DD3">
        <w:t xml:space="preserve"> na internetu. </w:t>
      </w:r>
    </w:p>
    <w:p w:rsidR="0082530B" w:rsidRDefault="0082530B" w:rsidP="0082530B">
      <w:pPr>
        <w:pStyle w:val="c04titre1"/>
      </w:pPr>
      <w:r>
        <w:t> </w:t>
      </w:r>
      <w:r w:rsidR="00BC1DD3">
        <w:rPr>
          <w:b/>
          <w:bCs/>
        </w:rPr>
        <w:t xml:space="preserve">Pravni okvir </w:t>
      </w:r>
    </w:p>
    <w:p w:rsidR="0082530B" w:rsidRDefault="0082530B" w:rsidP="0082530B">
      <w:pPr>
        <w:pStyle w:val="c05titre2"/>
      </w:pPr>
      <w:r>
        <w:t> </w:t>
      </w:r>
      <w:r w:rsidR="00BC1DD3">
        <w:rPr>
          <w:i/>
          <w:iCs/>
        </w:rPr>
        <w:t xml:space="preserve">Uredba </w:t>
      </w:r>
    </w:p>
    <w:p w:rsidR="0082530B" w:rsidRDefault="0082530B" w:rsidP="0082530B">
      <w:pPr>
        <w:pStyle w:val="c01pointnumerotealtn"/>
      </w:pPr>
      <w:bookmarkStart w:id="2" w:name="point3"/>
      <w:r>
        <w:t>3</w:t>
      </w:r>
      <w:bookmarkEnd w:id="2"/>
      <w:r>
        <w:t>        </w:t>
      </w:r>
      <w:r w:rsidR="00BC1DD3">
        <w:t xml:space="preserve">Jedanaesta uvodna izjava Uredbe glasi: </w:t>
      </w:r>
    </w:p>
    <w:p w:rsidR="0082530B" w:rsidRDefault="0082530B" w:rsidP="00E752EC">
      <w:pPr>
        <w:pStyle w:val="c02alineaalta"/>
      </w:pPr>
      <w:r>
        <w:t>„</w:t>
      </w:r>
      <w:r w:rsidR="00E752EC">
        <w:t>Propisi o nadležnosti moraju biti visoko predvidljivi i utemeljeni na načelu da se nadležnost uglavnom utvrđuje prema prebivalištu tuženika, pri čemu takva nadležnost mora uvijek postojati, osim u nekim točno određenim slučajevima u kojima je zbog predmeta spora ili stranačke slobode ugovaranja opravdana neka druga poveznica. Prebivalište pravne osobe mora biti autonomno utvrđeno kako bi zajedni</w:t>
      </w:r>
      <w:r w:rsidR="001C3340">
        <w:t>čka pravila bila transparentnija</w:t>
      </w:r>
      <w:r w:rsidR="00E752EC">
        <w:t xml:space="preserve"> i kako bi se izbjegli sukobi nadležnosti.</w:t>
      </w:r>
      <w:r>
        <w:t xml:space="preserve">“ </w:t>
      </w:r>
    </w:p>
    <w:p w:rsidR="0082530B" w:rsidRDefault="0082530B" w:rsidP="0082530B">
      <w:pPr>
        <w:pStyle w:val="c01pointnumerotealtn"/>
      </w:pPr>
      <w:bookmarkStart w:id="3" w:name="point4"/>
      <w:r>
        <w:t>4</w:t>
      </w:r>
      <w:bookmarkEnd w:id="3"/>
      <w:r>
        <w:t>        </w:t>
      </w:r>
      <w:r w:rsidR="00E752EC">
        <w:t>Članak 2. stavak 1. Uredbe koji se nalazi u odjeljku 1. („Opće odredbe“</w:t>
      </w:r>
      <w:r w:rsidR="001C3340">
        <w:t>) p</w:t>
      </w:r>
      <w:r w:rsidR="00E752EC">
        <w:t>oglavlja II</w:t>
      </w:r>
      <w:r w:rsidR="001C3340">
        <w:t>.</w:t>
      </w:r>
      <w:r w:rsidR="00E752EC">
        <w:t xml:space="preserve"> („</w:t>
      </w:r>
      <w:r w:rsidR="001C3340">
        <w:t>Posebna n</w:t>
      </w:r>
      <w:r w:rsidR="00E752EC">
        <w:t xml:space="preserve">adležnost“) predviđa: </w:t>
      </w:r>
    </w:p>
    <w:p w:rsidR="00E752EC" w:rsidRDefault="00E752EC" w:rsidP="0082530B">
      <w:pPr>
        <w:pStyle w:val="c02alineaalta"/>
      </w:pPr>
      <w:r>
        <w:t>„Podložno odredbama ove Uredbe, osobe s prebivalištem u nekoj državi članici mogu biti tužene, bez obzira na njihovo državljanstvo, pred sudovima te države članice.“</w:t>
      </w:r>
    </w:p>
    <w:p w:rsidR="0082530B" w:rsidRDefault="0082530B" w:rsidP="0082530B">
      <w:pPr>
        <w:pStyle w:val="c01pointnumerotealtn"/>
      </w:pPr>
      <w:bookmarkStart w:id="4" w:name="point5"/>
      <w:r>
        <w:t>5</w:t>
      </w:r>
      <w:bookmarkEnd w:id="4"/>
      <w:r>
        <w:t>        </w:t>
      </w:r>
      <w:r w:rsidR="00E752EC">
        <w:t xml:space="preserve">Članak 3. stavak 1. Uredbe određuje: </w:t>
      </w:r>
    </w:p>
    <w:p w:rsidR="00E752EC" w:rsidRDefault="00E752EC" w:rsidP="0082530B">
      <w:pPr>
        <w:pStyle w:val="c02alineaalta"/>
      </w:pPr>
      <w:r>
        <w:t>„Osobe s prebivalištem u nekoj</w:t>
      </w:r>
      <w:r w:rsidR="001C3340">
        <w:t xml:space="preserve"> državi članici mogu biti tužene</w:t>
      </w:r>
      <w:r>
        <w:t xml:space="preserve"> pred sudovima neke druge države članice samo prema odredbama odjeljka 2.-7. ovog poglavlja.“</w:t>
      </w:r>
    </w:p>
    <w:p w:rsidR="0082530B" w:rsidRDefault="0082530B" w:rsidP="0082530B">
      <w:pPr>
        <w:pStyle w:val="c01pointnumerotealtn"/>
      </w:pPr>
      <w:bookmarkStart w:id="5" w:name="point6"/>
      <w:r>
        <w:t>6</w:t>
      </w:r>
      <w:bookmarkEnd w:id="5"/>
      <w:r>
        <w:t>        </w:t>
      </w:r>
      <w:r w:rsidR="00656DF4">
        <w:t>Članak 5. stavak 3. koji se nalazi u odjeljku 2. (</w:t>
      </w:r>
      <w:r w:rsidR="00B208C8">
        <w:t>„</w:t>
      </w:r>
      <w:r w:rsidR="00656DF4">
        <w:t>Posebna nadležnost“</w:t>
      </w:r>
      <w:r w:rsidR="001C3340">
        <w:t>) p</w:t>
      </w:r>
      <w:r w:rsidR="00656DF4">
        <w:t>oglavlja II</w:t>
      </w:r>
      <w:r w:rsidR="00B208C8">
        <w:t>.</w:t>
      </w:r>
      <w:r w:rsidR="00656DF4">
        <w:t xml:space="preserve"> predviđa: </w:t>
      </w:r>
      <w:r>
        <w:t xml:space="preserve"> </w:t>
      </w:r>
    </w:p>
    <w:p w:rsidR="00656DF4" w:rsidRDefault="00656DF4" w:rsidP="00656DF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„Osoba s prebivalištem u nekoj državi članici može biti tužena u drugoj državi članici: </w:t>
      </w:r>
    </w:p>
    <w:p w:rsidR="0082530B" w:rsidRDefault="0082530B" w:rsidP="0082530B">
      <w:pPr>
        <w:pStyle w:val="c02alineaalta"/>
      </w:pPr>
      <w:r>
        <w:lastRenderedPageBreak/>
        <w:t>…</w:t>
      </w:r>
    </w:p>
    <w:p w:rsidR="0082530B" w:rsidRDefault="0082530B" w:rsidP="0082530B">
      <w:pPr>
        <w:pStyle w:val="c09marge0avecretrait"/>
      </w:pPr>
      <w:r>
        <w:t>3.      </w:t>
      </w:r>
      <w:r w:rsidR="00656DF4">
        <w:t>u sporovima o izvanugovornoj odgovornosti za štetu ili odgovornost koja je izjednačena s tom odgovornosti, pred sudom mjesta gdje se štetni događaj dogodio, ili gdje bi se mogao dogoditi</w:t>
      </w:r>
      <w:r>
        <w:t xml:space="preserve">.“ </w:t>
      </w:r>
    </w:p>
    <w:p w:rsidR="0082530B" w:rsidRDefault="0082530B" w:rsidP="0082530B">
      <w:pPr>
        <w:pStyle w:val="c05titre2"/>
      </w:pPr>
      <w:r>
        <w:t> </w:t>
      </w:r>
      <w:r>
        <w:rPr>
          <w:i/>
          <w:iCs/>
        </w:rPr>
        <w:t>Di</w:t>
      </w:r>
      <w:r w:rsidR="00656DF4">
        <w:rPr>
          <w:i/>
          <w:iCs/>
        </w:rPr>
        <w:t xml:space="preserve">rektiva </w:t>
      </w:r>
    </w:p>
    <w:p w:rsidR="0082530B" w:rsidRDefault="0082530B" w:rsidP="0082530B">
      <w:pPr>
        <w:pStyle w:val="c01pointnumerotealtn"/>
      </w:pPr>
      <w:bookmarkStart w:id="6" w:name="point7"/>
      <w:r>
        <w:t>7</w:t>
      </w:r>
      <w:bookmarkEnd w:id="6"/>
      <w:r>
        <w:t>        </w:t>
      </w:r>
      <w:r w:rsidR="00307420">
        <w:t xml:space="preserve">Četvrta rečenica 22. uvodne izjave Direktive glasi: </w:t>
      </w:r>
    </w:p>
    <w:p w:rsidR="00307420" w:rsidRDefault="0082530B" w:rsidP="00307420">
      <w:pPr>
        <w:pStyle w:val="c02alineaalta"/>
      </w:pPr>
      <w:r>
        <w:t>„</w:t>
      </w:r>
      <w:r w:rsidR="00307420">
        <w:t xml:space="preserve">Štoviše, </w:t>
      </w:r>
      <w:r w:rsidR="001C3340">
        <w:t>radi stvarnog jamč</w:t>
      </w:r>
      <w:r w:rsidR="00307420">
        <w:t>enja slobode pružanja us</w:t>
      </w:r>
      <w:r w:rsidR="001C3340">
        <w:t>luga i pravne sigurnosti isporuč</w:t>
      </w:r>
      <w:r w:rsidR="00307420">
        <w:t xml:space="preserve">itelja i primatelja usluga, te usluge </w:t>
      </w:r>
      <w:r w:rsidR="001C3340">
        <w:t>informatič</w:t>
      </w:r>
      <w:r w:rsidR="00307420">
        <w:t>kog društva trebale bi u na</w:t>
      </w:r>
      <w:r w:rsidR="001C3340">
        <w:t>č</w:t>
      </w:r>
      <w:r w:rsidR="00307420">
        <w:t>e</w:t>
      </w:r>
      <w:r w:rsidR="001C3340">
        <w:t>lu podlijegati zakonima države č</w:t>
      </w:r>
      <w:r w:rsidR="00307420">
        <w:t xml:space="preserve">lanice u kojoj pružatelj usluga ima poslovni nastan.“ </w:t>
      </w:r>
    </w:p>
    <w:p w:rsidR="0082530B" w:rsidRDefault="0082530B" w:rsidP="00307420">
      <w:pPr>
        <w:pStyle w:val="c02alineaalta"/>
      </w:pPr>
    </w:p>
    <w:p w:rsidR="0082530B" w:rsidRDefault="0082530B" w:rsidP="0082530B">
      <w:pPr>
        <w:pStyle w:val="c01pointnumerotealtn"/>
      </w:pPr>
      <w:bookmarkStart w:id="7" w:name="point8"/>
      <w:r>
        <w:t>8</w:t>
      </w:r>
      <w:bookmarkEnd w:id="7"/>
      <w:r>
        <w:t>        </w:t>
      </w:r>
      <w:r w:rsidR="00307420">
        <w:t xml:space="preserve">U 23. uvodnoj izjavi Direktive piše: </w:t>
      </w:r>
    </w:p>
    <w:p w:rsidR="0082530B" w:rsidRDefault="0082530B" w:rsidP="00307420">
      <w:pPr>
        <w:pStyle w:val="c02alineaalta"/>
      </w:pPr>
      <w:r>
        <w:t>„</w:t>
      </w:r>
      <w:r w:rsidR="00307420">
        <w:t xml:space="preserve">Ova Direktiva nema za cilj utvrditi dodatna pravila o privatnom međunarodnom pravu koje se odnosi na </w:t>
      </w:r>
      <w:r w:rsidR="00B208C8">
        <w:t xml:space="preserve">kolizijska </w:t>
      </w:r>
      <w:r w:rsidR="00307420">
        <w:t>prav</w:t>
      </w:r>
      <w:r w:rsidR="00B208C8">
        <w:t>ila</w:t>
      </w:r>
      <w:r w:rsidR="00307420">
        <w:t xml:space="preserve"> niti se bavi nadležnošću sudova. Odredbe </w:t>
      </w:r>
      <w:r w:rsidR="00B208C8">
        <w:t xml:space="preserve">mjerodavnog </w:t>
      </w:r>
      <w:r w:rsidR="001C3340">
        <w:t>prava određene pravilima privatnog međ</w:t>
      </w:r>
      <w:r w:rsidR="00307420">
        <w:t xml:space="preserve">unarodnog </w:t>
      </w:r>
      <w:r w:rsidR="001C3340">
        <w:t>prava ne smiju ogranič</w:t>
      </w:r>
      <w:r w:rsidR="00307420">
        <w:t>iti slobodu pružanja usluga informati</w:t>
      </w:r>
      <w:r w:rsidR="00D25899">
        <w:t>č</w:t>
      </w:r>
      <w:r w:rsidR="00307420">
        <w:t xml:space="preserve">kog društva kako ih utvrđuje ova Direktiva.“ </w:t>
      </w:r>
    </w:p>
    <w:p w:rsidR="0082530B" w:rsidRDefault="0082530B" w:rsidP="0082530B">
      <w:pPr>
        <w:pStyle w:val="c01pointnumerotealtn"/>
      </w:pPr>
      <w:bookmarkStart w:id="8" w:name="point9"/>
      <w:r>
        <w:t>9</w:t>
      </w:r>
      <w:bookmarkEnd w:id="8"/>
      <w:r>
        <w:t xml:space="preserve">        25. </w:t>
      </w:r>
      <w:r w:rsidR="00307420">
        <w:t xml:space="preserve">uvodna izjava Direktive glasi: </w:t>
      </w:r>
    </w:p>
    <w:p w:rsidR="00307420" w:rsidRDefault="0082530B" w:rsidP="00307420">
      <w:pPr>
        <w:pStyle w:val="c02alineaalta"/>
      </w:pPr>
      <w:r>
        <w:t>„</w:t>
      </w:r>
      <w:r w:rsidR="00307420">
        <w:t>Nacionalni sudovi, uklju</w:t>
      </w:r>
      <w:r w:rsidR="00D25899">
        <w:t>č</w:t>
      </w:r>
      <w:r w:rsidR="00307420">
        <w:t xml:space="preserve">ujući građanske sudove, koji rješavaju </w:t>
      </w:r>
      <w:r w:rsidR="00321E32">
        <w:t xml:space="preserve">privatnopravne sporove </w:t>
      </w:r>
      <w:r w:rsidR="00307420">
        <w:t>mogu poduzeti mjere kojima se smanjuje sloboda pružanja usluga informati</w:t>
      </w:r>
      <w:r w:rsidR="00D25899">
        <w:t>č</w:t>
      </w:r>
      <w:r w:rsidR="00307420">
        <w:t xml:space="preserve">kog društva u skladu s uvjetima utvrđenim u ovoj Direktivi.“ </w:t>
      </w:r>
    </w:p>
    <w:p w:rsidR="0082530B" w:rsidRDefault="0082530B" w:rsidP="005D17AF">
      <w:pPr>
        <w:pStyle w:val="c01pointnumerotealtn"/>
      </w:pPr>
      <w:bookmarkStart w:id="9" w:name="point10"/>
      <w:r>
        <w:t>10</w:t>
      </w:r>
      <w:bookmarkEnd w:id="9"/>
      <w:r>
        <w:t>      </w:t>
      </w:r>
      <w:r w:rsidR="005D17AF">
        <w:t>Sukladno članku 1. stavku 1. Direktiva „ima za cilj doprinijeti pravilnom funkcioniranju unutarnjeg tržišta osiguranjem slobodnog kretanja usluga infor</w:t>
      </w:r>
      <w:r w:rsidR="0060767F">
        <w:t>mati</w:t>
      </w:r>
      <w:r w:rsidR="00D25899">
        <w:t>č</w:t>
      </w:r>
      <w:r w:rsidR="0060767F">
        <w:t>kog društva između država č</w:t>
      </w:r>
      <w:r w:rsidR="005D17AF">
        <w:t xml:space="preserve">lanica.“ </w:t>
      </w:r>
      <w:r>
        <w:t xml:space="preserve"> </w:t>
      </w:r>
    </w:p>
    <w:p w:rsidR="0082530B" w:rsidRDefault="0082530B" w:rsidP="0082530B">
      <w:pPr>
        <w:pStyle w:val="c01pointnumerotealtn"/>
      </w:pPr>
      <w:bookmarkStart w:id="10" w:name="point11"/>
      <w:r>
        <w:t>11</w:t>
      </w:r>
      <w:bookmarkEnd w:id="10"/>
      <w:r>
        <w:t>      </w:t>
      </w:r>
      <w:r w:rsidR="005D17AF">
        <w:t xml:space="preserve">Članak 1. stavak 4. Direktive određuje: </w:t>
      </w:r>
    </w:p>
    <w:p w:rsidR="0082530B" w:rsidRDefault="0082530B" w:rsidP="005D17AF">
      <w:pPr>
        <w:pStyle w:val="c02alineaalta"/>
      </w:pPr>
      <w:r>
        <w:t>„</w:t>
      </w:r>
      <w:r w:rsidR="005D17AF">
        <w:t xml:space="preserve">Ova Direktiva ne utvrđuje dodatna pravila o međunarodnom </w:t>
      </w:r>
      <w:r w:rsidR="009C1BC5">
        <w:t xml:space="preserve">privatnom </w:t>
      </w:r>
      <w:r w:rsidR="005D17AF">
        <w:t xml:space="preserve">pravu niti se bavi nadležnošću sudova.“ </w:t>
      </w:r>
    </w:p>
    <w:p w:rsidR="0082530B" w:rsidRDefault="0082530B" w:rsidP="0082530B">
      <w:pPr>
        <w:pStyle w:val="c01pointnumerotealtn"/>
      </w:pPr>
      <w:bookmarkStart w:id="11" w:name="point12"/>
      <w:r>
        <w:t>12</w:t>
      </w:r>
      <w:bookmarkEnd w:id="11"/>
      <w:r>
        <w:t>      </w:t>
      </w:r>
      <w:r w:rsidR="005D17AF">
        <w:t xml:space="preserve">Članak 2. </w:t>
      </w:r>
      <w:r w:rsidR="003E375C">
        <w:t xml:space="preserve">stavak h. točka i. Direktive predviđa: </w:t>
      </w:r>
      <w:r>
        <w:t xml:space="preserve"> </w:t>
      </w:r>
    </w:p>
    <w:p w:rsidR="005D17AF" w:rsidRDefault="005D17AF" w:rsidP="005D17AF">
      <w:pPr>
        <w:pStyle w:val="c02alineaalta"/>
      </w:pPr>
      <w:r>
        <w:t>„</w:t>
      </w:r>
      <w:r w:rsidR="003E375C">
        <w:t>Područ</w:t>
      </w:r>
      <w:r>
        <w:t>je koordinacije se odnosi na zahtjeve koje pružatelj usluga treba poštovati i  koji su vezani uz:</w:t>
      </w:r>
    </w:p>
    <w:p w:rsidR="005D17AF" w:rsidRDefault="0060767F" w:rsidP="005D17AF">
      <w:pPr>
        <w:pStyle w:val="c02alineaalta"/>
      </w:pPr>
      <w:r>
        <w:t>- poč</w:t>
      </w:r>
      <w:r w:rsidR="005D17AF">
        <w:t>etak obavljanja djelatnosti pružanja usluge informati</w:t>
      </w:r>
      <w:r w:rsidR="00D25899">
        <w:t>č</w:t>
      </w:r>
      <w:r w:rsidR="005D17AF">
        <w:t xml:space="preserve">kog društva, kao što su zahtjevi vezani uz kvalifikacije, ovlaštenje ili prijavu, </w:t>
      </w:r>
    </w:p>
    <w:p w:rsidR="0082530B" w:rsidRDefault="005D17AF" w:rsidP="005D17AF">
      <w:pPr>
        <w:pStyle w:val="c02alineaalta"/>
      </w:pPr>
      <w:r>
        <w:t>- obavljanje djelatnosti pružanja usluga informati</w:t>
      </w:r>
      <w:r w:rsidR="00D25899">
        <w:t>č</w:t>
      </w:r>
      <w:r>
        <w:t>kog društva, kao što su zahtjevi vezani uz ponašanje pružatelja usluga, zahtjevi u pogledu kv</w:t>
      </w:r>
      <w:r w:rsidR="0060767F">
        <w:t>alitete i sadržaja usluge uključ</w:t>
      </w:r>
      <w:r>
        <w:t>ujući zahtjeve koji se odnose na oglašavanje i ugovore, ili zahtjeve vezane uz odgovornost pružatelja usluge.</w:t>
      </w:r>
      <w:r w:rsidR="0082530B">
        <w:t xml:space="preserve">“ </w:t>
      </w:r>
    </w:p>
    <w:p w:rsidR="0082530B" w:rsidRDefault="0082530B" w:rsidP="0082530B">
      <w:pPr>
        <w:pStyle w:val="c01pointnumerotealtn"/>
      </w:pPr>
      <w:bookmarkStart w:id="12" w:name="point13"/>
      <w:r>
        <w:lastRenderedPageBreak/>
        <w:t>13</w:t>
      </w:r>
      <w:bookmarkEnd w:id="12"/>
      <w:r>
        <w:t>      </w:t>
      </w:r>
      <w:r w:rsidR="003E375C">
        <w:t xml:space="preserve">Članak 3. </w:t>
      </w:r>
      <w:r w:rsidR="00D2139B">
        <w:t xml:space="preserve">stavci </w:t>
      </w:r>
      <w:r w:rsidR="003E375C">
        <w:t>1. i 2. Direktive glas</w:t>
      </w:r>
      <w:r w:rsidR="00D2139B">
        <w:t>e</w:t>
      </w:r>
      <w:r w:rsidR="003E375C">
        <w:t xml:space="preserve">: </w:t>
      </w:r>
    </w:p>
    <w:p w:rsidR="003E375C" w:rsidRDefault="003E375C" w:rsidP="003E375C">
      <w:pPr>
        <w:pStyle w:val="c02alineaalta"/>
      </w:pPr>
      <w:r>
        <w:t>„ (1) Svaka država članica mora osigurati da usluge informati</w:t>
      </w:r>
      <w:r w:rsidR="00D25899">
        <w:t>č</w:t>
      </w:r>
      <w:r>
        <w:t xml:space="preserve">kog društva koje pruža pružatelj usluga s poslovnim nastanom na njezinom </w:t>
      </w:r>
      <w:r w:rsidR="00A56C67">
        <w:t>područj</w:t>
      </w:r>
      <w:r>
        <w:t xml:space="preserve">u udovoljavaju onim nacionalnim odredbama te države </w:t>
      </w:r>
      <w:r w:rsidR="00D25899">
        <w:t>č</w:t>
      </w:r>
      <w:r>
        <w:t>la</w:t>
      </w:r>
      <w:r w:rsidR="0060767F">
        <w:t>nice koje spadaju u okvir područ</w:t>
      </w:r>
      <w:r>
        <w:t>ja koordinacije.</w:t>
      </w:r>
    </w:p>
    <w:p w:rsidR="003E375C" w:rsidRDefault="0060767F" w:rsidP="003E375C">
      <w:pPr>
        <w:pStyle w:val="c02alineaalta"/>
      </w:pPr>
      <w:r>
        <w:t>(2) Države č</w:t>
      </w:r>
      <w:r w:rsidR="003E375C">
        <w:t>lanice ne mogu, iz raz</w:t>
      </w:r>
      <w:r>
        <w:t>loga koji spadaju u okvir područja koordinacije, ogranič</w:t>
      </w:r>
      <w:r w:rsidR="003E375C">
        <w:t>iti slobodu pružanja usluga informati</w:t>
      </w:r>
      <w:r w:rsidR="00D25899">
        <w:t>č</w:t>
      </w:r>
      <w:r w:rsidR="003E375C">
        <w:t>ko</w:t>
      </w:r>
      <w:r>
        <w:t>g društva iz neke druge države č</w:t>
      </w:r>
      <w:r w:rsidR="003E375C">
        <w:t>lanice.“</w:t>
      </w:r>
    </w:p>
    <w:p w:rsidR="0082530B" w:rsidRDefault="0082530B" w:rsidP="00240662">
      <w:pPr>
        <w:pStyle w:val="c01pointnumerotealtn"/>
      </w:pPr>
      <w:bookmarkStart w:id="13" w:name="point14"/>
      <w:r>
        <w:t>14</w:t>
      </w:r>
      <w:bookmarkEnd w:id="13"/>
      <w:r>
        <w:t>      </w:t>
      </w:r>
      <w:r w:rsidR="00240662">
        <w:t>U članku 3. stavku 4. Direktive navedeni su uvjeti, pod kojima države članice mogu poduzeti mjere za odstupanja od stavka 2. u pogledu određene usluge informati</w:t>
      </w:r>
      <w:r w:rsidR="00D25899">
        <w:t>č</w:t>
      </w:r>
      <w:r w:rsidR="00240662">
        <w:t>kog društva.</w:t>
      </w:r>
    </w:p>
    <w:p w:rsidR="0082530B" w:rsidRDefault="0082530B" w:rsidP="0082530B">
      <w:pPr>
        <w:pStyle w:val="c04titre1"/>
      </w:pPr>
      <w:r>
        <w:t> </w:t>
      </w:r>
      <w:r w:rsidR="00433E08">
        <w:rPr>
          <w:b/>
          <w:bCs/>
        </w:rPr>
        <w:t xml:space="preserve">Predmet glavnog postupka i prethodna pitanja </w:t>
      </w:r>
    </w:p>
    <w:p w:rsidR="0082530B" w:rsidRDefault="0082530B" w:rsidP="0082530B">
      <w:pPr>
        <w:pStyle w:val="c05titre2"/>
      </w:pPr>
      <w:r>
        <w:t> </w:t>
      </w:r>
      <w:r w:rsidR="00433E08">
        <w:rPr>
          <w:i/>
          <w:iCs/>
        </w:rPr>
        <w:t xml:space="preserve">Sudski predmet </w:t>
      </w:r>
      <w:r>
        <w:rPr>
          <w:i/>
          <w:iCs/>
        </w:rPr>
        <w:t>C</w:t>
      </w:r>
      <w:r>
        <w:rPr>
          <w:i/>
          <w:iCs/>
        </w:rPr>
        <w:noBreakHyphen/>
        <w:t>509/09</w:t>
      </w:r>
    </w:p>
    <w:p w:rsidR="0082530B" w:rsidRDefault="0082530B" w:rsidP="0082530B">
      <w:pPr>
        <w:pStyle w:val="c01pointnumerotealtn"/>
      </w:pPr>
      <w:bookmarkStart w:id="14" w:name="point15"/>
      <w:r>
        <w:t>15</w:t>
      </w:r>
      <w:bookmarkEnd w:id="14"/>
      <w:r>
        <w:t>      </w:t>
      </w:r>
      <w:r w:rsidR="006B54C2">
        <w:t>Gospodina X</w:t>
      </w:r>
      <w:r w:rsidR="0060767F">
        <w:t>,</w:t>
      </w:r>
      <w:r w:rsidR="006B54C2">
        <w:t xml:space="preserve"> s prebivalištem u Njemačkoj</w:t>
      </w:r>
      <w:r w:rsidR="0060767F">
        <w:t>,</w:t>
      </w:r>
      <w:r w:rsidR="006B54C2">
        <w:t xml:space="preserve"> je njemački sud </w:t>
      </w:r>
      <w:r w:rsidR="0060767F">
        <w:t xml:space="preserve">1993., </w:t>
      </w:r>
      <w:r w:rsidR="006B54C2">
        <w:t>zajedno s nj</w:t>
      </w:r>
      <w:r w:rsidR="0060767F">
        <w:t>egovim bratom osudio na doživot</w:t>
      </w:r>
      <w:r w:rsidR="006B54C2">
        <w:t>nu kaznu zatvora zbog ubojstva poznatog glumca. U siječnju 2003. u</w:t>
      </w:r>
      <w:r w:rsidR="0060767F">
        <w:t>v</w:t>
      </w:r>
      <w:r w:rsidR="006B54C2">
        <w:t xml:space="preserve">jetno je otpušten. </w:t>
      </w:r>
      <w:r>
        <w:t xml:space="preserve"> </w:t>
      </w:r>
    </w:p>
    <w:p w:rsidR="0082530B" w:rsidRDefault="0082530B" w:rsidP="0082530B">
      <w:pPr>
        <w:pStyle w:val="c01pointnumerotealtn"/>
      </w:pPr>
      <w:bookmarkStart w:id="15" w:name="point16"/>
      <w:r>
        <w:t>16</w:t>
      </w:r>
      <w:bookmarkEnd w:id="15"/>
      <w:r>
        <w:t>      D</w:t>
      </w:r>
      <w:r w:rsidR="0060767F">
        <w:t>ru</w:t>
      </w:r>
      <w:r w:rsidR="006B54C2">
        <w:t>š</w:t>
      </w:r>
      <w:r w:rsidR="0060767F">
        <w:t>t</w:t>
      </w:r>
      <w:r w:rsidR="006B54C2">
        <w:t xml:space="preserve">vo </w:t>
      </w:r>
      <w:r>
        <w:t>eDate Advertising</w:t>
      </w:r>
      <w:r w:rsidR="006B54C2">
        <w:t>,</w:t>
      </w:r>
      <w:r>
        <w:t xml:space="preserve"> </w:t>
      </w:r>
      <w:r w:rsidR="006B54C2">
        <w:t xml:space="preserve">sa sjedištem u Austriji, vodi na adresi </w:t>
      </w:r>
      <w:r>
        <w:t xml:space="preserve">„www.rainbow.at“ </w:t>
      </w:r>
      <w:r w:rsidR="006B54C2">
        <w:t xml:space="preserve">internetski portal. </w:t>
      </w:r>
      <w:r w:rsidR="0060767F">
        <w:t xml:space="preserve">Tuženi je do 18. lipnja 2007. u </w:t>
      </w:r>
      <w:r w:rsidR="006B54C2">
        <w:t xml:space="preserve">rubrici </w:t>
      </w:r>
      <w:r w:rsidR="0060767F">
        <w:t xml:space="preserve">„Info-News“, </w:t>
      </w:r>
      <w:r w:rsidR="006B54C2">
        <w:t>na stranicama</w:t>
      </w:r>
      <w:r w:rsidR="00502808">
        <w:t xml:space="preserve"> sa starim vijestima držao</w:t>
      </w:r>
      <w:r w:rsidR="006B54C2">
        <w:t xml:space="preserve"> vijest od 23. kolovoza 1999. U </w:t>
      </w:r>
      <w:r w:rsidR="003C4020">
        <w:t xml:space="preserve">tom </w:t>
      </w:r>
      <w:r w:rsidR="006B54C2">
        <w:t xml:space="preserve">je </w:t>
      </w:r>
      <w:r w:rsidR="0060767F">
        <w:t xml:space="preserve">članku, </w:t>
      </w:r>
      <w:r w:rsidR="006B54C2">
        <w:t>uz navođenje punog imena gospo</w:t>
      </w:r>
      <w:r w:rsidR="00502808">
        <w:t>dina X i njegova brata</w:t>
      </w:r>
      <w:r w:rsidR="0060767F">
        <w:t xml:space="preserve">, pisalo </w:t>
      </w:r>
      <w:r w:rsidR="00502808">
        <w:t xml:space="preserve">da su obojica </w:t>
      </w:r>
      <w:r w:rsidR="0060767F">
        <w:t xml:space="preserve">pred </w:t>
      </w:r>
      <w:r w:rsidR="00502808">
        <w:t>S</w:t>
      </w:r>
      <w:r w:rsidR="0060767F">
        <w:t>aveznim ustavnim sudom (</w:t>
      </w:r>
      <w:r w:rsidR="00FD6A22" w:rsidRPr="00FD6A22">
        <w:rPr>
          <w:i/>
        </w:rPr>
        <w:t>Bundesverfassungsgericht</w:t>
      </w:r>
      <w:r w:rsidR="0060767F">
        <w:t>)</w:t>
      </w:r>
      <w:r w:rsidR="006B54C2">
        <w:t xml:space="preserve"> u </w:t>
      </w:r>
      <w:r>
        <w:t>Karlsruhe</w:t>
      </w:r>
      <w:r w:rsidR="006B54C2">
        <w:t>u</w:t>
      </w:r>
      <w:r>
        <w:t xml:space="preserve"> (</w:t>
      </w:r>
      <w:r w:rsidR="006B54C2">
        <w:t>Njemačka</w:t>
      </w:r>
      <w:r>
        <w:t xml:space="preserve">) </w:t>
      </w:r>
      <w:r w:rsidR="006B54C2">
        <w:t>po</w:t>
      </w:r>
      <w:r w:rsidR="0060767F">
        <w:t>digli tužb</w:t>
      </w:r>
      <w:r w:rsidR="00502808">
        <w:t xml:space="preserve">u protiv </w:t>
      </w:r>
      <w:r w:rsidR="0060767F">
        <w:t>svoje</w:t>
      </w:r>
      <w:r w:rsidR="00502808">
        <w:t xml:space="preserve"> osuđujuće presude</w:t>
      </w:r>
      <w:r w:rsidR="006B54C2">
        <w:t xml:space="preserve">. </w:t>
      </w:r>
      <w:r w:rsidR="00502808">
        <w:t xml:space="preserve">Pored kratkog opisa djela počinjenog 1990. citiran je </w:t>
      </w:r>
      <w:r w:rsidR="0060767F">
        <w:t xml:space="preserve">i </w:t>
      </w:r>
      <w:r w:rsidR="00502808">
        <w:t xml:space="preserve">odvjetnik osuđenika, </w:t>
      </w:r>
      <w:r w:rsidR="0060767F">
        <w:t xml:space="preserve">koji je rekao </w:t>
      </w:r>
      <w:r w:rsidR="00502808">
        <w:t xml:space="preserve">da žele dokazati da više glavnih svjedoka optužbe tijekom postupka nije govorilo istinu. </w:t>
      </w:r>
      <w:r>
        <w:t xml:space="preserve"> </w:t>
      </w:r>
    </w:p>
    <w:p w:rsidR="0082530B" w:rsidRDefault="0082530B" w:rsidP="0082530B">
      <w:pPr>
        <w:pStyle w:val="c01pointnumerotealtn"/>
      </w:pPr>
      <w:bookmarkStart w:id="16" w:name="point17"/>
      <w:r>
        <w:t>17</w:t>
      </w:r>
      <w:bookmarkEnd w:id="16"/>
      <w:r>
        <w:t xml:space="preserve">      X </w:t>
      </w:r>
      <w:r w:rsidR="00502808">
        <w:t xml:space="preserve">je zahtijevao od </w:t>
      </w:r>
      <w:r w:rsidR="0060767F">
        <w:t xml:space="preserve">društva </w:t>
      </w:r>
      <w:r>
        <w:t xml:space="preserve">eDate Advertising </w:t>
      </w:r>
      <w:r w:rsidR="00502808">
        <w:t>da uk</w:t>
      </w:r>
      <w:r w:rsidR="0060767F">
        <w:t>loni tu vijest te da</w:t>
      </w:r>
      <w:r w:rsidR="00FE3053">
        <w:t xml:space="preserve"> </w:t>
      </w:r>
      <w:r w:rsidR="0060767F">
        <w:t xml:space="preserve">da </w:t>
      </w:r>
      <w:r w:rsidR="00FE3053">
        <w:t>izjavu</w:t>
      </w:r>
      <w:r w:rsidR="0060767F">
        <w:t xml:space="preserve"> </w:t>
      </w:r>
      <w:r w:rsidR="008372D5">
        <w:t>kojom će se obvezati da je neće dalje objavljivati</w:t>
      </w:r>
      <w:r w:rsidR="00FE3053">
        <w:t xml:space="preserve">. </w:t>
      </w:r>
      <w:r>
        <w:t xml:space="preserve">eDate Advertising </w:t>
      </w:r>
      <w:r w:rsidR="00FE3053">
        <w:t xml:space="preserve">nije odgovorilo na taj dopis, </w:t>
      </w:r>
      <w:r w:rsidR="0060767F">
        <w:t>ali je 18. lipnja 2007. uklonilo</w:t>
      </w:r>
      <w:r w:rsidR="00FE3053">
        <w:t xml:space="preserve"> tu vijest sa svoje internetske stranice. </w:t>
      </w:r>
    </w:p>
    <w:p w:rsidR="0082530B" w:rsidRDefault="0082530B" w:rsidP="0082530B">
      <w:pPr>
        <w:pStyle w:val="c01pointnumerotealtn"/>
      </w:pPr>
      <w:bookmarkStart w:id="17" w:name="point18"/>
      <w:r>
        <w:t>18</w:t>
      </w:r>
      <w:bookmarkEnd w:id="17"/>
      <w:r>
        <w:t>      </w:t>
      </w:r>
      <w:r w:rsidR="00FE3053">
        <w:t xml:space="preserve">U svojoj tužbi pred njemačkim sudovima je X tražio od </w:t>
      </w:r>
      <w:r>
        <w:t>eDate Advertising</w:t>
      </w:r>
      <w:r w:rsidR="00FE3053">
        <w:t>a da o njemu</w:t>
      </w:r>
      <w:r w:rsidR="0060767F">
        <w:t>, uz navođenje njegova punog imena i prezimena,</w:t>
      </w:r>
      <w:r w:rsidR="00FE3053">
        <w:t xml:space="preserve"> više ne izvješćuje u kontekstu tog djela</w:t>
      </w:r>
      <w:r w:rsidR="0060767F">
        <w:t xml:space="preserve">. </w:t>
      </w:r>
      <w:r>
        <w:t xml:space="preserve">eDate Advertising </w:t>
      </w:r>
      <w:r w:rsidR="00FE3053">
        <w:t>u prvom redu ospor</w:t>
      </w:r>
      <w:r w:rsidR="00A9658F">
        <w:t xml:space="preserve">ava </w:t>
      </w:r>
      <w:r w:rsidR="00FE3053">
        <w:t>međunarodnu nadležnost njemačkih sudova. Budući da je tužba prihvaćena u oba prethodna stupnja, eDate Advertising</w:t>
      </w:r>
      <w:r w:rsidR="0060767F">
        <w:t xml:space="preserve"> nastavlja sa svojim zahtjevom z</w:t>
      </w:r>
      <w:r w:rsidR="00FE3053">
        <w:t xml:space="preserve">a odbijanje tužbe pred </w:t>
      </w:r>
      <w:r w:rsidR="00D2139B">
        <w:t xml:space="preserve">sudom </w:t>
      </w:r>
      <w:r w:rsidR="00FD6A22" w:rsidRPr="00FD6A22">
        <w:rPr>
          <w:i/>
        </w:rPr>
        <w:t>Bundesgerichtshof</w:t>
      </w:r>
      <w:r w:rsidR="008372D5">
        <w:t xml:space="preserve"> (Savezni (vrhovni) sud)</w:t>
      </w:r>
      <w:r w:rsidR="00FE3053">
        <w:t xml:space="preserve">. </w:t>
      </w:r>
    </w:p>
    <w:p w:rsidR="0082530B" w:rsidRDefault="0082530B" w:rsidP="0082530B">
      <w:pPr>
        <w:pStyle w:val="c01pointnumerotealtn"/>
      </w:pPr>
      <w:bookmarkStart w:id="18" w:name="point19"/>
      <w:r>
        <w:t>19</w:t>
      </w:r>
      <w:bookmarkEnd w:id="18"/>
      <w:r>
        <w:t>      </w:t>
      </w:r>
      <w:r w:rsidR="008372D5">
        <w:t xml:space="preserve"> </w:t>
      </w:r>
      <w:r w:rsidR="00FD6A22" w:rsidRPr="00FD6A22">
        <w:rPr>
          <w:i/>
        </w:rPr>
        <w:t>Bundesgerichtshof</w:t>
      </w:r>
      <w:r>
        <w:t xml:space="preserve"> </w:t>
      </w:r>
      <w:r w:rsidR="008372D5">
        <w:t xml:space="preserve">navodi </w:t>
      </w:r>
      <w:r w:rsidR="00B702C9">
        <w:t>da uspjeh te tužbe ovisi o tomu</w:t>
      </w:r>
      <w:r w:rsidR="00A9658F">
        <w:t>,</w:t>
      </w:r>
      <w:r w:rsidR="00B702C9">
        <w:t xml:space="preserve"> jesu li prethodn</w:t>
      </w:r>
      <w:r w:rsidR="008372D5">
        <w:t>e instance s pravom potvrdile</w:t>
      </w:r>
      <w:r w:rsidR="00B702C9">
        <w:t xml:space="preserve"> međunarodnu nadležnost za odlučivanje o sporu sukla</w:t>
      </w:r>
      <w:r w:rsidR="008372D5">
        <w:t>dno članku 5. stavku 3. Uredbe.</w:t>
      </w:r>
    </w:p>
    <w:p w:rsidR="0082530B" w:rsidRDefault="0082530B" w:rsidP="0082530B">
      <w:pPr>
        <w:pStyle w:val="c01pointnumerotealtn"/>
      </w:pPr>
      <w:bookmarkStart w:id="19" w:name="point20"/>
      <w:r>
        <w:t>20</w:t>
      </w:r>
      <w:bookmarkEnd w:id="19"/>
      <w:r>
        <w:t>      </w:t>
      </w:r>
      <w:r w:rsidR="00A9658F">
        <w:t>Ako su njemački sudovi međuna</w:t>
      </w:r>
      <w:r w:rsidR="00B702C9">
        <w:t>r</w:t>
      </w:r>
      <w:r w:rsidR="00A9658F">
        <w:t>o</w:t>
      </w:r>
      <w:r w:rsidR="00B702C9">
        <w:t>dno nadležni, postavlja se pitanje je li mjerodavno njemačko ili austrijsko pravo. To ovisi o tumačenju članka 3. stav</w:t>
      </w:r>
      <w:r w:rsidR="00D2139B">
        <w:t>a</w:t>
      </w:r>
      <w:r w:rsidR="00B702C9">
        <w:t xml:space="preserve">ka 1. i 2. Direktive. </w:t>
      </w:r>
      <w:r>
        <w:t xml:space="preserve"> </w:t>
      </w:r>
    </w:p>
    <w:p w:rsidR="0082530B" w:rsidRDefault="0082530B" w:rsidP="0082530B">
      <w:pPr>
        <w:pStyle w:val="c01pointnumerotealtn"/>
      </w:pPr>
      <w:bookmarkStart w:id="20" w:name="point21"/>
      <w:r>
        <w:t>21</w:t>
      </w:r>
      <w:bookmarkEnd w:id="20"/>
      <w:r>
        <w:t>      </w:t>
      </w:r>
      <w:r w:rsidR="00EB3DE9">
        <w:t>S jedne bi strane načelo zemlje podrijetla mog</w:t>
      </w:r>
      <w:r w:rsidR="00A9658F">
        <w:t xml:space="preserve">ao biti korektiv na materijalnopravnoj razini. </w:t>
      </w:r>
      <w:r w:rsidR="00BA16A7">
        <w:t xml:space="preserve">Materijalnopravni ishod prema pravu koje je mjerodavno </w:t>
      </w:r>
      <w:r w:rsidR="00A9658F">
        <w:t>prema kolizijskim pravilim</w:t>
      </w:r>
      <w:r w:rsidR="00BA16A7">
        <w:t>a</w:t>
      </w:r>
      <w:r w:rsidR="00EB3DE9">
        <w:t xml:space="preserve"> države članice</w:t>
      </w:r>
      <w:r w:rsidR="00A9658F">
        <w:t xml:space="preserve"> sud</w:t>
      </w:r>
      <w:r w:rsidR="00BA16A7">
        <w:t xml:space="preserve">a </w:t>
      </w:r>
      <w:r w:rsidR="00EB3DE9">
        <w:t xml:space="preserve">će se u konktretnom slučaju eventualno sadržajno modificirati i </w:t>
      </w:r>
      <w:r w:rsidR="0012060A">
        <w:t>svesti na manje stroge zahtjeve prava zemlje podrijetla. Prema tom tumačenju načelo zemlje podrijetla ne utječe na nacionalna kolizijska prav</w:t>
      </w:r>
      <w:r w:rsidR="00A9658F">
        <w:t>il</w:t>
      </w:r>
      <w:r w:rsidR="0012060A">
        <w:t>a države</w:t>
      </w:r>
      <w:r w:rsidR="00A9658F">
        <w:t xml:space="preserve"> u kjoj se nalazi </w:t>
      </w:r>
      <w:r w:rsidR="0012060A">
        <w:t xml:space="preserve">sud te bi se – kao npr. </w:t>
      </w:r>
      <w:r w:rsidR="0012060A">
        <w:lastRenderedPageBreak/>
        <w:t xml:space="preserve">temeljne slobode </w:t>
      </w:r>
      <w:r w:rsidR="00A9658F">
        <w:t xml:space="preserve">iz </w:t>
      </w:r>
      <w:r w:rsidR="0012060A">
        <w:t>Ugovor</w:t>
      </w:r>
      <w:r w:rsidR="00A9658F">
        <w:t>a</w:t>
      </w:r>
      <w:r w:rsidR="0012060A">
        <w:t xml:space="preserve"> o EZ – prim</w:t>
      </w:r>
      <w:r w:rsidR="007168E8">
        <w:t>i</w:t>
      </w:r>
      <w:r w:rsidR="0012060A">
        <w:t>jenilo tek u okviru</w:t>
      </w:r>
      <w:r w:rsidR="00A9658F">
        <w:t xml:space="preserve"> konkretne usporedbe koje je povoljnije na materijalno</w:t>
      </w:r>
      <w:r w:rsidR="0012060A">
        <w:t xml:space="preserve">pravnoj razini. </w:t>
      </w:r>
      <w:r>
        <w:t xml:space="preserve"> </w:t>
      </w:r>
    </w:p>
    <w:p w:rsidR="0082530B" w:rsidRDefault="0082530B" w:rsidP="0082530B">
      <w:pPr>
        <w:pStyle w:val="c01pointnumerotealtn"/>
      </w:pPr>
      <w:bookmarkStart w:id="21" w:name="point22"/>
      <w:r>
        <w:t>22</w:t>
      </w:r>
      <w:bookmarkEnd w:id="21"/>
      <w:r>
        <w:t>      </w:t>
      </w:r>
      <w:r w:rsidR="0012060A">
        <w:t xml:space="preserve">S druge strane, kroz članak 3. Direktive moglo bi se </w:t>
      </w:r>
      <w:r w:rsidR="00CF227C">
        <w:t xml:space="preserve">ustanoviti </w:t>
      </w:r>
      <w:r w:rsidR="0012060A">
        <w:t>opće kolizijskopravno načelo koje bi</w:t>
      </w:r>
      <w:r w:rsidR="00A9658F">
        <w:t>,</w:t>
      </w:r>
      <w:r w:rsidR="0012060A">
        <w:t xml:space="preserve"> </w:t>
      </w:r>
      <w:r w:rsidR="00A9658F">
        <w:t>potisk</w:t>
      </w:r>
      <w:r w:rsidR="00045D47">
        <w:t xml:space="preserve">ujući </w:t>
      </w:r>
      <w:r w:rsidR="0012060A">
        <w:t>nacionalno kolizijsko</w:t>
      </w:r>
      <w:r w:rsidR="00045D47">
        <w:t xml:space="preserve"> pravo</w:t>
      </w:r>
      <w:r w:rsidR="00A9658F">
        <w:t xml:space="preserve">, </w:t>
      </w:r>
      <w:r w:rsidR="0012060A">
        <w:t xml:space="preserve">dovelo do </w:t>
      </w:r>
      <w:r w:rsidR="004846E3">
        <w:t xml:space="preserve">isključive </w:t>
      </w:r>
      <w:r w:rsidR="0012060A">
        <w:t>primjene prava ko</w:t>
      </w:r>
      <w:r w:rsidR="00D3428E">
        <w:t>je vrijedi u zemlji podrijetla.</w:t>
      </w:r>
    </w:p>
    <w:p w:rsidR="009E2DC0" w:rsidRDefault="0082530B" w:rsidP="0082530B">
      <w:pPr>
        <w:pStyle w:val="c01pointnumerotealtn"/>
      </w:pPr>
      <w:bookmarkStart w:id="22" w:name="point23"/>
      <w:r>
        <w:t>23</w:t>
      </w:r>
      <w:bookmarkEnd w:id="22"/>
      <w:r>
        <w:t>      </w:t>
      </w:r>
      <w:r w:rsidR="00FD6A22" w:rsidRPr="00FD6A22">
        <w:rPr>
          <w:i/>
        </w:rPr>
        <w:t>Budendesgerichtshof</w:t>
      </w:r>
      <w:r w:rsidR="009E2DC0">
        <w:t xml:space="preserve"> navodi da, a</w:t>
      </w:r>
      <w:r w:rsidR="0012060A">
        <w:t>ko bi se načelo zem</w:t>
      </w:r>
      <w:r w:rsidR="00AA2DFE">
        <w:t xml:space="preserve">lje podrijetla smatralo </w:t>
      </w:r>
      <w:r w:rsidR="0012060A">
        <w:t>preprekom za primjenu prava</w:t>
      </w:r>
      <w:r w:rsidR="00377A7D">
        <w:t xml:space="preserve"> na materijalnopravnoj razini</w:t>
      </w:r>
      <w:r w:rsidR="0012060A">
        <w:t xml:space="preserve">, </w:t>
      </w:r>
      <w:r w:rsidR="009E2DC0">
        <w:t xml:space="preserve">primjenjivalo bi se </w:t>
      </w:r>
      <w:r w:rsidR="0012060A">
        <w:t>njem</w:t>
      </w:r>
      <w:r w:rsidR="00AA2DFE">
        <w:t>ačko međunarodno privatno pravo</w:t>
      </w:r>
      <w:r w:rsidR="00D2139B">
        <w:t>,</w:t>
      </w:r>
      <w:r w:rsidR="00AA2DFE">
        <w:t xml:space="preserve"> </w:t>
      </w:r>
      <w:r w:rsidR="009E2DC0">
        <w:t>a odluka koja se osporava morala bi biti ukinuta i tužba u konačnici odbijena, jer bi predlagateljev zahtjev za nečinjenje morao biti odbijen prema njemačkom pravu</w:t>
      </w:r>
      <w:r w:rsidR="0012060A">
        <w:t xml:space="preserve">. Ako </w:t>
      </w:r>
      <w:r w:rsidR="00AA2DFE">
        <w:t xml:space="preserve">bi </w:t>
      </w:r>
      <w:r w:rsidR="0012060A">
        <w:t xml:space="preserve">se nasuprot tomu </w:t>
      </w:r>
      <w:r w:rsidR="00AA2DFE">
        <w:t xml:space="preserve">smatralo da načelo podrijetla ima </w:t>
      </w:r>
      <w:r w:rsidR="0012060A">
        <w:t>karakter</w:t>
      </w:r>
      <w:r w:rsidR="009E2DC0">
        <w:t xml:space="preserve"> kolizijskog pravila</w:t>
      </w:r>
      <w:r w:rsidR="0012060A">
        <w:t xml:space="preserve">, o zahtjevu </w:t>
      </w:r>
      <w:r w:rsidR="00AA2DFE">
        <w:t xml:space="preserve">gospodina X </w:t>
      </w:r>
      <w:r w:rsidR="009E2DC0">
        <w:t xml:space="preserve">na nečinjenje </w:t>
      </w:r>
      <w:r w:rsidR="00AA2DFE">
        <w:t>trebalo</w:t>
      </w:r>
      <w:r w:rsidR="0012060A">
        <w:t xml:space="preserve"> bi odlučiti prema austrijskom pravu. </w:t>
      </w:r>
      <w:r>
        <w:t xml:space="preserve"> </w:t>
      </w:r>
      <w:bookmarkStart w:id="23" w:name="point24"/>
    </w:p>
    <w:p w:rsidR="0082530B" w:rsidRDefault="0082530B" w:rsidP="0082530B">
      <w:pPr>
        <w:pStyle w:val="c01pointnumerotealtn"/>
      </w:pPr>
      <w:r>
        <w:t>24</w:t>
      </w:r>
      <w:bookmarkEnd w:id="23"/>
      <w:r>
        <w:t>      </w:t>
      </w:r>
      <w:r w:rsidR="0012060A">
        <w:t>Pod tim okolnostima je Savezni vrhovni sud (</w:t>
      </w:r>
      <w:r w:rsidR="00FD6A22" w:rsidRPr="00FD6A22">
        <w:rPr>
          <w:i/>
        </w:rPr>
        <w:t>Bundesgerichtshof</w:t>
      </w:r>
      <w:r w:rsidR="0012060A">
        <w:t>) prekinuo postupa</w:t>
      </w:r>
      <w:r w:rsidR="001C3194">
        <w:t>k i Sudu uputio sljedeća pitanja</w:t>
      </w:r>
      <w:r w:rsidR="0012060A">
        <w:t xml:space="preserve"> na prethodno tumačenje: </w:t>
      </w:r>
    </w:p>
    <w:p w:rsidR="0082530B" w:rsidRDefault="0082530B" w:rsidP="0082530B">
      <w:pPr>
        <w:pStyle w:val="c09marge0avecretrait"/>
      </w:pPr>
      <w:r>
        <w:t>1.      </w:t>
      </w:r>
      <w:r w:rsidR="001C3194">
        <w:t>Treba li</w:t>
      </w:r>
      <w:r w:rsidR="009B3DDC">
        <w:t xml:space="preserve"> izraz „mjesto gdje bi se štetni događaj mogao dogoditi“ iz</w:t>
      </w:r>
      <w:r>
        <w:t xml:space="preserve"> </w:t>
      </w:r>
      <w:r w:rsidR="009B3DDC">
        <w:t>člank</w:t>
      </w:r>
      <w:r w:rsidR="001C3194">
        <w:t>a 5. stavka 3. Uredbe kod (moguć</w:t>
      </w:r>
      <w:r w:rsidR="009B3DDC">
        <w:t>ih) povreda prava osobnosti kroz sadržaje</w:t>
      </w:r>
      <w:r w:rsidR="00AE705C">
        <w:t xml:space="preserve"> na internetskoj stranici </w:t>
      </w:r>
      <w:r w:rsidR="009B3DDC">
        <w:t xml:space="preserve">tumačiti tako </w:t>
      </w:r>
    </w:p>
    <w:p w:rsidR="0082530B" w:rsidRDefault="0082530B" w:rsidP="0082530B">
      <w:pPr>
        <w:pStyle w:val="c10marge1"/>
      </w:pPr>
      <w:r>
        <w:t>da</w:t>
      </w:r>
      <w:r w:rsidR="009B3DDC">
        <w:t xml:space="preserve"> osoba čija su pra</w:t>
      </w:r>
      <w:r w:rsidR="009E2DC0">
        <w:t xml:space="preserve">va povrijeđena može podnijeti tužbu na nečinjenje </w:t>
      </w:r>
      <w:r w:rsidR="00595152">
        <w:t>protiv vlasnika</w:t>
      </w:r>
      <w:r w:rsidR="009B3DDC">
        <w:t xml:space="preserve"> internetske stranice i pred sudovima svake države</w:t>
      </w:r>
      <w:r w:rsidR="00595152">
        <w:t xml:space="preserve"> članice u kojoj se može vidjeti</w:t>
      </w:r>
      <w:r w:rsidR="009B3DDC">
        <w:t xml:space="preserve"> ta internetska stranica, </w:t>
      </w:r>
      <w:r>
        <w:t xml:space="preserve"> </w:t>
      </w:r>
    </w:p>
    <w:p w:rsidR="0082530B" w:rsidRDefault="009B3DDC" w:rsidP="0082530B">
      <w:pPr>
        <w:pStyle w:val="c10marge1"/>
      </w:pPr>
      <w:r>
        <w:t xml:space="preserve">ili </w:t>
      </w:r>
    </w:p>
    <w:p w:rsidR="0082530B" w:rsidRDefault="007B695E" w:rsidP="0082530B">
      <w:pPr>
        <w:pStyle w:val="c10marge1"/>
      </w:pPr>
      <w:r>
        <w:t xml:space="preserve">pretpostavlja li nadležnost sudova država članica, u kojima </w:t>
      </w:r>
      <w:r w:rsidR="000035C6">
        <w:t>vlasnik</w:t>
      </w:r>
      <w:r>
        <w:t xml:space="preserve"> internetske stranice nema poslovni nastan,</w:t>
      </w:r>
      <w:r w:rsidR="000035C6">
        <w:t xml:space="preserve"> da, pored tehničke</w:t>
      </w:r>
      <w:r>
        <w:t xml:space="preserve"> moguć</w:t>
      </w:r>
      <w:r w:rsidR="000035C6">
        <w:t xml:space="preserve">nosti </w:t>
      </w:r>
      <w:r>
        <w:t>učitavanja, mora postojati i drugi posebni odnos između osporenih s</w:t>
      </w:r>
      <w:r w:rsidR="000035C6">
        <w:t>adržaja ili internetske stranice</w:t>
      </w:r>
      <w:r>
        <w:t xml:space="preserve"> i države </w:t>
      </w:r>
      <w:r w:rsidR="000035C6">
        <w:t xml:space="preserve">u kojoj se nalazi sud </w:t>
      </w:r>
      <w:r>
        <w:t>(</w:t>
      </w:r>
      <w:r w:rsidR="008649C0">
        <w:t xml:space="preserve">veza s </w:t>
      </w:r>
      <w:r>
        <w:t>tuz</w:t>
      </w:r>
      <w:r w:rsidR="008649C0">
        <w:t>e</w:t>
      </w:r>
      <w:r>
        <w:t>m</w:t>
      </w:r>
      <w:r w:rsidR="008649C0">
        <w:t>stvom</w:t>
      </w:r>
      <w:r w:rsidR="00F07C7A">
        <w:t>)?</w:t>
      </w:r>
    </w:p>
    <w:p w:rsidR="0082530B" w:rsidRDefault="0082530B" w:rsidP="0082530B">
      <w:pPr>
        <w:pStyle w:val="c09marge0avecretrait"/>
      </w:pPr>
      <w:r>
        <w:t>2.      </w:t>
      </w:r>
      <w:r w:rsidR="007B695E">
        <w:t xml:space="preserve">Ako je takva veza </w:t>
      </w:r>
      <w:r w:rsidR="008649C0">
        <w:t xml:space="preserve">s tuzemstvom </w:t>
      </w:r>
      <w:r w:rsidR="007B695E">
        <w:t xml:space="preserve">potrebna: </w:t>
      </w:r>
    </w:p>
    <w:p w:rsidR="0082530B" w:rsidRDefault="008649C0" w:rsidP="0082530B">
      <w:pPr>
        <w:pStyle w:val="c10marge1"/>
      </w:pPr>
      <w:r>
        <w:t>Prema kojim se poveznicama</w:t>
      </w:r>
      <w:r w:rsidR="007B695E">
        <w:t xml:space="preserve"> ta veza</w:t>
      </w:r>
      <w:r w:rsidR="00F07C7A" w:rsidRPr="00F07C7A">
        <w:t xml:space="preserve"> </w:t>
      </w:r>
      <w:r w:rsidR="00F07C7A">
        <w:t>određuje</w:t>
      </w:r>
      <w:r w:rsidR="007B695E">
        <w:t xml:space="preserve">? </w:t>
      </w:r>
    </w:p>
    <w:p w:rsidR="0082530B" w:rsidRDefault="007B695E" w:rsidP="0082530B">
      <w:pPr>
        <w:pStyle w:val="c10marge1"/>
      </w:pPr>
      <w:r>
        <w:t xml:space="preserve">Je li bitno </w:t>
      </w:r>
      <w:r w:rsidR="008F4D2B">
        <w:t xml:space="preserve">je </w:t>
      </w:r>
      <w:r>
        <w:t xml:space="preserve">li se osporena internetska stranica sukladno namjeni </w:t>
      </w:r>
      <w:r w:rsidR="00645BD4">
        <w:t>vlasnika</w:t>
      </w:r>
      <w:r w:rsidR="00964E1F">
        <w:t xml:space="preserve"> ciljano obraća (i) korisni</w:t>
      </w:r>
      <w:r>
        <w:t>cima interneta u državi</w:t>
      </w:r>
      <w:r w:rsidR="00645BD4">
        <w:t xml:space="preserve"> u kojoj se nalazi sud</w:t>
      </w:r>
      <w:r>
        <w:t xml:space="preserve"> ili je dovoljno da su informacije sadržane na internetskoj stranici objektivno povezane s državom </w:t>
      </w:r>
      <w:r w:rsidR="00645BD4">
        <w:t xml:space="preserve">u kojoj se nalazi </w:t>
      </w:r>
      <w:r>
        <w:t>sud</w:t>
      </w:r>
      <w:r w:rsidR="00645BD4">
        <w:t>, u smislu da je</w:t>
      </w:r>
      <w:r w:rsidR="00D258D9">
        <w:t>, ovisno o okolnostima konkretnog slučaja, posebice na temelju sadržaja sporne internetske stranice, u državi suda</w:t>
      </w:r>
      <w:r>
        <w:t xml:space="preserve"> </w:t>
      </w:r>
      <w:r w:rsidR="00D258D9">
        <w:t xml:space="preserve">stvarno </w:t>
      </w:r>
      <w:r w:rsidR="00645BD4">
        <w:t xml:space="preserve">moglo </w:t>
      </w:r>
      <w:r w:rsidR="00CF6435">
        <w:t>doći</w:t>
      </w:r>
      <w:r>
        <w:t xml:space="preserve"> ili </w:t>
      </w:r>
      <w:r w:rsidR="00D258D9">
        <w:t>mo</w:t>
      </w:r>
      <w:r w:rsidR="00CF6435">
        <w:t xml:space="preserve">že </w:t>
      </w:r>
      <w:r>
        <w:t xml:space="preserve">doći do kolizije oprečnih interesa – interesa tužitelja da se poštuje njegovo pravo osobnosti i interes </w:t>
      </w:r>
      <w:r w:rsidR="00CF6435">
        <w:t>vlasnika za oblikovanjem svoje internetske</w:t>
      </w:r>
      <w:r>
        <w:t xml:space="preserve"> stran</w:t>
      </w:r>
      <w:r w:rsidR="00CF6435">
        <w:t>ice</w:t>
      </w:r>
      <w:r>
        <w:t xml:space="preserve"> i izvješć</w:t>
      </w:r>
      <w:r w:rsidR="00CF6435">
        <w:t>ivanjem</w:t>
      </w:r>
      <w:r w:rsidR="00D258D9">
        <w:t xml:space="preserve">? </w:t>
      </w:r>
      <w:r>
        <w:t xml:space="preserve"> </w:t>
      </w:r>
      <w:r w:rsidR="0082530B">
        <w:t xml:space="preserve"> </w:t>
      </w:r>
    </w:p>
    <w:p w:rsidR="0082530B" w:rsidRDefault="00D258D9" w:rsidP="0082530B">
      <w:pPr>
        <w:pStyle w:val="c10marge1"/>
      </w:pPr>
      <w:r>
        <w:t xml:space="preserve">Je li za utvrđivanje posebne </w:t>
      </w:r>
      <w:r w:rsidR="00BF2DF9">
        <w:t xml:space="preserve">veze s </w:t>
      </w:r>
      <w:r>
        <w:t>tuzem</w:t>
      </w:r>
      <w:r w:rsidR="00BF2DF9">
        <w:t xml:space="preserve">stvom </w:t>
      </w:r>
      <w:r w:rsidR="00901394">
        <w:t xml:space="preserve">mjerodavan </w:t>
      </w:r>
      <w:r>
        <w:t xml:space="preserve">broj posjeta spornoj stranici iz države </w:t>
      </w:r>
      <w:r w:rsidR="00BF2DF9">
        <w:t>u kojoj se nalazi sud</w:t>
      </w:r>
      <w:r w:rsidR="00901394">
        <w:t>?</w:t>
      </w:r>
    </w:p>
    <w:p w:rsidR="0082530B" w:rsidRDefault="0082530B" w:rsidP="0082530B">
      <w:pPr>
        <w:pStyle w:val="c09marge0avecretrait"/>
      </w:pPr>
      <w:r>
        <w:t>3.      </w:t>
      </w:r>
      <w:r w:rsidR="00BA5895">
        <w:t>Ako za potvrđivanje nadležn</w:t>
      </w:r>
      <w:r w:rsidR="00D258D9">
        <w:t>o</w:t>
      </w:r>
      <w:r w:rsidR="00BA5895">
        <w:t>s</w:t>
      </w:r>
      <w:r w:rsidR="00D258D9">
        <w:t xml:space="preserve">ti nije potrebna posebna </w:t>
      </w:r>
      <w:r w:rsidR="00BA5895">
        <w:t xml:space="preserve">veza s </w:t>
      </w:r>
      <w:r w:rsidR="00D258D9">
        <w:t>tuz</w:t>
      </w:r>
      <w:r w:rsidR="00BA5895">
        <w:t>e</w:t>
      </w:r>
      <w:r w:rsidR="00D258D9">
        <w:t>m</w:t>
      </w:r>
      <w:r w:rsidR="00BA5895">
        <w:t xml:space="preserve">stvom </w:t>
      </w:r>
      <w:r w:rsidR="00D258D9">
        <w:t>ili ako je za pre</w:t>
      </w:r>
      <w:r w:rsidR="00BA5895">
        <w:t>tpostavku te nadležnosti</w:t>
      </w:r>
      <w:r w:rsidR="00D258D9">
        <w:t xml:space="preserve"> dovoljno da su osporene informacije objektivno povezane s državom </w:t>
      </w:r>
      <w:r w:rsidR="00BA5895">
        <w:t>u kojoj se nalazi sud,</w:t>
      </w:r>
      <w:r w:rsidR="00D258D9">
        <w:t xml:space="preserve"> u smislu da je</w:t>
      </w:r>
      <w:r w:rsidR="00BA5895">
        <w:t>,</w:t>
      </w:r>
      <w:r w:rsidR="00D258D9">
        <w:t xml:space="preserve"> </w:t>
      </w:r>
      <w:r w:rsidR="00BA5895">
        <w:t xml:space="preserve">ovisno </w:t>
      </w:r>
      <w:r w:rsidR="00E649B1">
        <w:t>o okolnostima konkretnog slučaja</w:t>
      </w:r>
      <w:r w:rsidR="00BA5895">
        <w:t xml:space="preserve">, a </w:t>
      </w:r>
      <w:r w:rsidR="00BA5895">
        <w:lastRenderedPageBreak/>
        <w:t xml:space="preserve">posebice na temelju osporene internetske stranice, </w:t>
      </w:r>
      <w:r w:rsidR="00D258D9">
        <w:t xml:space="preserve">stvarno došlo ili bi moglo doći do kolizije oprečnih interesa u </w:t>
      </w:r>
      <w:r w:rsidR="00BA5895">
        <w:t xml:space="preserve">toj </w:t>
      </w:r>
      <w:r w:rsidR="00D258D9">
        <w:t>državi</w:t>
      </w:r>
      <w:r w:rsidR="00BA5895">
        <w:t>, te</w:t>
      </w:r>
      <w:r w:rsidR="00D258D9">
        <w:t xml:space="preserve"> pretpostavka posebne </w:t>
      </w:r>
      <w:r w:rsidR="00BA5895">
        <w:t xml:space="preserve">veze </w:t>
      </w:r>
      <w:r w:rsidR="00D258D9">
        <w:t xml:space="preserve">s tuzemstvom ne pretpostavlja utvrđivanje minimalnog broja posjeta osporene internetske stranice iz države </w:t>
      </w:r>
      <w:r w:rsidR="00BA5895">
        <w:t>u kojoj se nalazi sud</w:t>
      </w:r>
      <w:r w:rsidR="00D258D9">
        <w:t xml:space="preserve">: </w:t>
      </w:r>
    </w:p>
    <w:p w:rsidR="0082530B" w:rsidRDefault="00D258D9" w:rsidP="0082530B">
      <w:pPr>
        <w:pStyle w:val="c10marge1"/>
      </w:pPr>
      <w:r>
        <w:t xml:space="preserve">Treba li članak 3. stavak 1. i 2 Direktive tumačiti tako </w:t>
      </w:r>
    </w:p>
    <w:p w:rsidR="0082530B" w:rsidRDefault="00D258D9" w:rsidP="0082530B">
      <w:pPr>
        <w:pStyle w:val="c10marge1"/>
      </w:pPr>
      <w:r>
        <w:t>da se tim odredbama treba pripisa</w:t>
      </w:r>
      <w:r w:rsidR="00045D47">
        <w:t>ti kolizijsko</w:t>
      </w:r>
      <w:r>
        <w:t>pravni karakter</w:t>
      </w:r>
      <w:r w:rsidR="00045D47">
        <w:t>,</w:t>
      </w:r>
      <w:r>
        <w:t xml:space="preserve"> u tom smislu da i za područje građanskog prava</w:t>
      </w:r>
      <w:r w:rsidR="00045D47">
        <w:t xml:space="preserve">, potiskujući nacionalne kolizijske norme, </w:t>
      </w:r>
      <w:r>
        <w:t>nalažu isključi</w:t>
      </w:r>
      <w:r w:rsidR="00045D47">
        <w:t>vu primjenu prava koje vrijedi u</w:t>
      </w:r>
      <w:r>
        <w:t xml:space="preserve"> zemlji podrijetla</w:t>
      </w:r>
      <w:r w:rsidR="00045D47">
        <w:t xml:space="preserve">, </w:t>
      </w:r>
    </w:p>
    <w:p w:rsidR="0082530B" w:rsidRDefault="00D258D9" w:rsidP="0082530B">
      <w:pPr>
        <w:pStyle w:val="c10marge1"/>
      </w:pPr>
      <w:r>
        <w:t xml:space="preserve">ili </w:t>
      </w:r>
    </w:p>
    <w:p w:rsidR="0082530B" w:rsidRDefault="00D258D9" w:rsidP="0082530B">
      <w:pPr>
        <w:pStyle w:val="c10marge1"/>
      </w:pPr>
      <w:r>
        <w:t>radi li se kod tih pro</w:t>
      </w:r>
      <w:r w:rsidR="00A951B2">
        <w:t>pisa o korektivu na materijalno</w:t>
      </w:r>
      <w:r>
        <w:t>pravnoj raz</w:t>
      </w:r>
      <w:r w:rsidR="00A951B2">
        <w:t xml:space="preserve">ini, pomoću kojeg će se </w:t>
      </w:r>
      <w:r w:rsidR="00C27942">
        <w:t>materijalno</w:t>
      </w:r>
      <w:r w:rsidR="00C27942">
        <w:t xml:space="preserve">pravni </w:t>
      </w:r>
      <w:r>
        <w:t>rezultat prava</w:t>
      </w:r>
      <w:r w:rsidR="009B55CD">
        <w:t>,</w:t>
      </w:r>
      <w:r>
        <w:t xml:space="preserve"> koje je </w:t>
      </w:r>
      <w:r w:rsidR="009B55CD">
        <w:t>proglašeno mjerodavnim prema nacio</w:t>
      </w:r>
      <w:r w:rsidR="00A951B2">
        <w:t>nalnim kolizijskim noramana, sa</w:t>
      </w:r>
      <w:r w:rsidR="009B55CD">
        <w:t>držajno modificirati i svesti na zahtjeve zemlje podrijetla</w:t>
      </w:r>
      <w:r w:rsidR="0082530B">
        <w:t xml:space="preserve">? </w:t>
      </w:r>
    </w:p>
    <w:p w:rsidR="0082530B" w:rsidRDefault="009B55CD" w:rsidP="0082530B">
      <w:pPr>
        <w:pStyle w:val="c10marge1"/>
      </w:pPr>
      <w:r>
        <w:t xml:space="preserve">Za slučaj da članak 3. </w:t>
      </w:r>
      <w:r w:rsidR="008F4D2B">
        <w:t xml:space="preserve">stavci </w:t>
      </w:r>
      <w:r>
        <w:t>1. i 2. Direktive ima</w:t>
      </w:r>
      <w:r w:rsidR="008F4D2B">
        <w:t>ju</w:t>
      </w:r>
      <w:r>
        <w:t xml:space="preserve"> kolizi</w:t>
      </w:r>
      <w:r w:rsidR="00A951B2">
        <w:t>jsko</w:t>
      </w:r>
      <w:r>
        <w:t xml:space="preserve">pravni karakter: </w:t>
      </w:r>
    </w:p>
    <w:p w:rsidR="0082530B" w:rsidRDefault="009B55CD" w:rsidP="0082530B">
      <w:pPr>
        <w:pStyle w:val="c10marge1"/>
      </w:pPr>
      <w:r>
        <w:t xml:space="preserve">nalažu li navedene odredbe samo isključivu primjenu </w:t>
      </w:r>
      <w:r w:rsidR="00C27942">
        <w:t>materijalno</w:t>
      </w:r>
      <w:r w:rsidR="00C27942">
        <w:t xml:space="preserve">g </w:t>
      </w:r>
      <w:r>
        <w:t>prava koje vrijedi u zemlji podrijetla ili i primjenu tamo važećih kolizijskih normi</w:t>
      </w:r>
      <w:r w:rsidR="00A951B2">
        <w:t>,</w:t>
      </w:r>
      <w:r>
        <w:t xml:space="preserve"> s tom posljedicom da je i nadalje moguć renvoi prava ze</w:t>
      </w:r>
      <w:r w:rsidR="00A951B2">
        <w:t xml:space="preserve">mlje podrijetla na pravo </w:t>
      </w:r>
      <w:r>
        <w:t>zemlje</w:t>
      </w:r>
      <w:r w:rsidR="00A951B2">
        <w:t xml:space="preserve"> odredišta</w:t>
      </w:r>
      <w:r>
        <w:t xml:space="preserve">? </w:t>
      </w:r>
      <w:r w:rsidR="0082530B">
        <w:t xml:space="preserve"> </w:t>
      </w:r>
    </w:p>
    <w:p w:rsidR="0082530B" w:rsidRDefault="0082530B" w:rsidP="0082530B">
      <w:pPr>
        <w:pStyle w:val="c05titre2"/>
      </w:pPr>
      <w:r>
        <w:t> </w:t>
      </w:r>
      <w:r w:rsidR="009B55CD">
        <w:rPr>
          <w:i/>
          <w:iCs/>
        </w:rPr>
        <w:t xml:space="preserve">Sudski predmet </w:t>
      </w:r>
      <w:r>
        <w:rPr>
          <w:i/>
          <w:iCs/>
        </w:rPr>
        <w:t>C</w:t>
      </w:r>
      <w:r>
        <w:rPr>
          <w:i/>
          <w:iCs/>
        </w:rPr>
        <w:noBreakHyphen/>
        <w:t>161/10</w:t>
      </w:r>
    </w:p>
    <w:p w:rsidR="0082530B" w:rsidRDefault="0082530B" w:rsidP="0082530B">
      <w:pPr>
        <w:pStyle w:val="c01pointnumerotealtn"/>
      </w:pPr>
      <w:bookmarkStart w:id="24" w:name="point25"/>
      <w:r>
        <w:t>25</w:t>
      </w:r>
      <w:bookmarkEnd w:id="24"/>
      <w:r>
        <w:t>      </w:t>
      </w:r>
      <w:r w:rsidR="008A73C9">
        <w:t xml:space="preserve">Francuski glumac </w:t>
      </w:r>
      <w:r>
        <w:t xml:space="preserve">Olivier Martinez </w:t>
      </w:r>
      <w:r w:rsidR="008A73C9">
        <w:t>i njegov otac R</w:t>
      </w:r>
      <w:r>
        <w:t xml:space="preserve">obert Martinez </w:t>
      </w:r>
      <w:r w:rsidR="0014766A">
        <w:t xml:space="preserve">tvrdili su u postupku </w:t>
      </w:r>
      <w:r w:rsidR="008A73C9">
        <w:t xml:space="preserve">pred </w:t>
      </w:r>
      <w:r w:rsidR="008F4D2B">
        <w:t xml:space="preserve">sudom </w:t>
      </w:r>
      <w:r w:rsidR="00FD6A22" w:rsidRPr="00FD6A22">
        <w:rPr>
          <w:i/>
        </w:rPr>
        <w:t>Tribunal de grande instance de Paris</w:t>
      </w:r>
      <w:r>
        <w:t xml:space="preserve">, </w:t>
      </w:r>
      <w:r w:rsidR="008A73C9">
        <w:t>da je njihovo pravo na pr</w:t>
      </w:r>
      <w:r w:rsidR="009D6138">
        <w:t>ivatni život i pravo na vlastite slike</w:t>
      </w:r>
      <w:r w:rsidR="008A73C9">
        <w:t xml:space="preserve"> </w:t>
      </w:r>
      <w:r>
        <w:t>Olivier</w:t>
      </w:r>
      <w:r w:rsidR="008A73C9">
        <w:t>a</w:t>
      </w:r>
      <w:r>
        <w:t xml:space="preserve"> Martinez</w:t>
      </w:r>
      <w:r w:rsidR="008A73C9">
        <w:t>a</w:t>
      </w:r>
      <w:r>
        <w:t xml:space="preserve"> </w:t>
      </w:r>
      <w:r w:rsidR="008A73C9">
        <w:t xml:space="preserve">povrijeđeno time što je 3. veljače 2008. na internetskoj stranici </w:t>
      </w:r>
      <w:r>
        <w:t>„www.sundaymirror.co.uk“</w:t>
      </w:r>
      <w:r w:rsidR="008A73C9">
        <w:t xml:space="preserve"> objavljen tekst na engleskom jeziku</w:t>
      </w:r>
      <w:r w:rsidR="009D6138">
        <w:t>,</w:t>
      </w:r>
      <w:r w:rsidR="008A73C9">
        <w:t xml:space="preserve"> </w:t>
      </w:r>
      <w:r w:rsidR="009D6138">
        <w:t>naslov kojeg u</w:t>
      </w:r>
      <w:r w:rsidR="008A73C9">
        <w:t xml:space="preserve"> francuskom prijevodu, koji nije osporen, </w:t>
      </w:r>
      <w:r w:rsidR="009D6138">
        <w:t xml:space="preserve">glasi </w:t>
      </w:r>
      <w:r>
        <w:t xml:space="preserve">„Kylie Minogue est de nouveau avec Olivier Martinez“ (Kylie Minogue </w:t>
      </w:r>
      <w:r w:rsidR="008A73C9">
        <w:t xml:space="preserve">i </w:t>
      </w:r>
      <w:r>
        <w:t xml:space="preserve">Olivier Martinez </w:t>
      </w:r>
      <w:r w:rsidR="009D6138">
        <w:t>ponovno zajedno), a koji sadrži detalje</w:t>
      </w:r>
      <w:r w:rsidR="008A73C9">
        <w:t xml:space="preserve"> o njihovom susretu. </w:t>
      </w:r>
      <w:r>
        <w:t xml:space="preserve"> </w:t>
      </w:r>
    </w:p>
    <w:p w:rsidR="0082530B" w:rsidRDefault="0082530B" w:rsidP="0082530B">
      <w:pPr>
        <w:pStyle w:val="c01pointnumerotealtn"/>
      </w:pPr>
      <w:bookmarkStart w:id="25" w:name="point26"/>
      <w:r>
        <w:t>26</w:t>
      </w:r>
      <w:bookmarkEnd w:id="25"/>
      <w:r>
        <w:t>      </w:t>
      </w:r>
      <w:r w:rsidR="008A73C9">
        <w:t xml:space="preserve">Tužba, koja se temelji na članku 9. francuskog </w:t>
      </w:r>
      <w:r w:rsidR="00FD6A22" w:rsidRPr="00FD6A22">
        <w:rPr>
          <w:i/>
        </w:rPr>
        <w:t>Code civil</w:t>
      </w:r>
      <w:r>
        <w:t xml:space="preserve"> </w:t>
      </w:r>
      <w:r w:rsidR="008A73C9">
        <w:t>(Gr</w:t>
      </w:r>
      <w:r w:rsidR="009D6138">
        <w:t>a</w:t>
      </w:r>
      <w:r w:rsidR="008A73C9">
        <w:t>đanskog zakonika), prem</w:t>
      </w:r>
      <w:r w:rsidR="009D6138">
        <w:t>a kojem „svaka osoba ... ima pravo da se</w:t>
      </w:r>
      <w:r w:rsidR="008A73C9">
        <w:t xml:space="preserve"> pošt</w:t>
      </w:r>
      <w:r w:rsidR="009D6138">
        <w:t>uje njezin privatni život</w:t>
      </w:r>
      <w:r>
        <w:t xml:space="preserve">“, </w:t>
      </w:r>
      <w:r w:rsidR="008A73C9">
        <w:t xml:space="preserve">usmjerena je protiv društva osnovanog prema engleskom pravu, </w:t>
      </w:r>
      <w:r>
        <w:t xml:space="preserve">MGN, </w:t>
      </w:r>
      <w:r w:rsidR="008A73C9">
        <w:t xml:space="preserve">koje vodi internetsku stranicu britanskih novina </w:t>
      </w:r>
      <w:r>
        <w:rPr>
          <w:i/>
          <w:iCs/>
        </w:rPr>
        <w:t>Sunday Mirror</w:t>
      </w:r>
      <w:r w:rsidR="008A73C9">
        <w:rPr>
          <w:i/>
          <w:iCs/>
        </w:rPr>
        <w:t xml:space="preserve">. </w:t>
      </w:r>
      <w:r w:rsidR="008A73C9" w:rsidRPr="008A73C9">
        <w:rPr>
          <w:iCs/>
        </w:rPr>
        <w:t xml:space="preserve">To društvo </w:t>
      </w:r>
      <w:r w:rsidR="008A73C9">
        <w:rPr>
          <w:iCs/>
        </w:rPr>
        <w:t xml:space="preserve">ističe da </w:t>
      </w:r>
      <w:r w:rsidR="00FD6A22" w:rsidRPr="00FD6A22">
        <w:rPr>
          <w:i/>
        </w:rPr>
        <w:t>Tribunal de grande instance de Paris</w:t>
      </w:r>
      <w:r>
        <w:t xml:space="preserve"> </w:t>
      </w:r>
      <w:r w:rsidR="009D6138">
        <w:t>nije nadležan budući da ne p</w:t>
      </w:r>
      <w:r w:rsidR="008A73C9">
        <w:t>o</w:t>
      </w:r>
      <w:r w:rsidR="009D6138">
        <w:t>s</w:t>
      </w:r>
      <w:r w:rsidR="008A73C9">
        <w:t xml:space="preserve">toji dovoljna veza između spornog teksta objavljenog na internetu i </w:t>
      </w:r>
      <w:r w:rsidR="009D6138">
        <w:t xml:space="preserve">istaknute </w:t>
      </w:r>
      <w:r w:rsidR="008A73C9">
        <w:t xml:space="preserve">štete na </w:t>
      </w:r>
      <w:r w:rsidR="00A56C67">
        <w:t>području Francuske</w:t>
      </w:r>
      <w:r>
        <w:t xml:space="preserve">, </w:t>
      </w:r>
      <w:r w:rsidR="008A73C9">
        <w:t>d</w:t>
      </w:r>
      <w:r w:rsidR="009D6138">
        <w:t>ok tužitelju zastupaju mišljenje</w:t>
      </w:r>
      <w:r w:rsidR="008A73C9">
        <w:t xml:space="preserve"> da takva veza nije </w:t>
      </w:r>
      <w:r w:rsidR="009D6138">
        <w:t xml:space="preserve">nužna </w:t>
      </w:r>
      <w:r w:rsidR="008A73C9">
        <w:t xml:space="preserve">i da u svakom slučaju postoji. </w:t>
      </w:r>
    </w:p>
    <w:p w:rsidR="0082530B" w:rsidRDefault="0082530B" w:rsidP="0082530B">
      <w:pPr>
        <w:pStyle w:val="c01pointnumerotealtn"/>
      </w:pPr>
      <w:bookmarkStart w:id="26" w:name="point27"/>
      <w:r>
        <w:t>27</w:t>
      </w:r>
      <w:bookmarkEnd w:id="26"/>
      <w:r>
        <w:t>      </w:t>
      </w:r>
      <w:r w:rsidR="005D4078">
        <w:t xml:space="preserve">Sud koji je postavio zahtjev za prethodnim tumačenjem navodi kako se kod štetnog događaja, koji se </w:t>
      </w:r>
      <w:r w:rsidR="008F4D2B">
        <w:t xml:space="preserve">temelji </w:t>
      </w:r>
      <w:r w:rsidR="005D4078">
        <w:t xml:space="preserve">na širenju informacije putem interneta, samo onda može pretpostaviti da je nastupio na </w:t>
      </w:r>
      <w:r w:rsidR="00A56C67">
        <w:t xml:space="preserve">području </w:t>
      </w:r>
      <w:r w:rsidR="005D4078">
        <w:t xml:space="preserve">jedne države članice ako postoji dostatna, bitna ili </w:t>
      </w:r>
      <w:r w:rsidR="00EB5EF9">
        <w:t>značajna</w:t>
      </w:r>
      <w:r w:rsidR="005D4078">
        <w:t xml:space="preserve"> veza</w:t>
      </w:r>
      <w:r w:rsidR="009D6138">
        <w:t xml:space="preserve"> s tim </w:t>
      </w:r>
      <w:r w:rsidR="00A56C67">
        <w:t>područjem</w:t>
      </w:r>
      <w:r w:rsidR="005D4078">
        <w:t xml:space="preserve">. </w:t>
      </w:r>
    </w:p>
    <w:p w:rsidR="0082530B" w:rsidRDefault="0082530B" w:rsidP="0082530B">
      <w:pPr>
        <w:pStyle w:val="c01pointnumerotealtn"/>
      </w:pPr>
      <w:bookmarkStart w:id="27" w:name="point28"/>
      <w:r>
        <w:t>28</w:t>
      </w:r>
      <w:bookmarkEnd w:id="27"/>
      <w:r>
        <w:t>      </w:t>
      </w:r>
      <w:r w:rsidR="007F3EEB">
        <w:t xml:space="preserve">Odgovor na pitanje je li sud </w:t>
      </w:r>
      <w:r w:rsidR="00EB5EF9">
        <w:t xml:space="preserve">neke </w:t>
      </w:r>
      <w:r w:rsidR="007F3EEB">
        <w:t>države članice nadležan za odlučivanje</w:t>
      </w:r>
      <w:r w:rsidR="0069332E">
        <w:t xml:space="preserve"> o povredi prava</w:t>
      </w:r>
      <w:r w:rsidR="007F3EEB">
        <w:t xml:space="preserve"> osobnosti koja je počinjena na in</w:t>
      </w:r>
      <w:r w:rsidR="0069332E">
        <w:t>ternetu putem internetske stran</w:t>
      </w:r>
      <w:r w:rsidR="007F3EEB">
        <w:t xml:space="preserve">ice koju </w:t>
      </w:r>
      <w:r w:rsidR="0069332E">
        <w:t>vodi osoba s prebivalištem u</w:t>
      </w:r>
      <w:r w:rsidR="007F3EEB">
        <w:t xml:space="preserve"> drugoj državi članici te koja je uglavnom namijenjena javnosti te druge države, ne proizlazi jasno iz teksta članka 2. i 5. stavk</w:t>
      </w:r>
      <w:r w:rsidR="00F31835">
        <w:t>a</w:t>
      </w:r>
      <w:r w:rsidR="007F3EEB">
        <w:t xml:space="preserve"> 3. Uredbe. </w:t>
      </w:r>
    </w:p>
    <w:p w:rsidR="0082530B" w:rsidRDefault="0082530B" w:rsidP="0082530B">
      <w:pPr>
        <w:pStyle w:val="c01pointnumerotealtn"/>
      </w:pPr>
      <w:bookmarkStart w:id="28" w:name="point29"/>
      <w:r>
        <w:lastRenderedPageBreak/>
        <w:t>29</w:t>
      </w:r>
      <w:bookmarkEnd w:id="28"/>
      <w:r>
        <w:t>      </w:t>
      </w:r>
      <w:r w:rsidR="007F3EEB">
        <w:t xml:space="preserve">Pod tim je okolnostima </w:t>
      </w:r>
      <w:r w:rsidR="00FD6A22" w:rsidRPr="00FD6A22">
        <w:rPr>
          <w:i/>
        </w:rPr>
        <w:t>Tribunal de grande instance de Paris</w:t>
      </w:r>
      <w:r>
        <w:t xml:space="preserve"> </w:t>
      </w:r>
      <w:r w:rsidR="007F3EEB">
        <w:t xml:space="preserve">prekinuo postupak i Sudu uputio sljedeće prethodno pitanje: </w:t>
      </w:r>
    </w:p>
    <w:p w:rsidR="0082530B" w:rsidRDefault="007F3EEB" w:rsidP="0082530B">
      <w:pPr>
        <w:pStyle w:val="c02alineaalta"/>
      </w:pPr>
      <w:r>
        <w:t>Treba li člank</w:t>
      </w:r>
      <w:r w:rsidR="00F31835">
        <w:t>e</w:t>
      </w:r>
      <w:r>
        <w:t xml:space="preserve"> 2. i 5. stavak 3. Uredbe tumačiti tako </w:t>
      </w:r>
      <w:r w:rsidR="00486BBF">
        <w:t xml:space="preserve">da sudu </w:t>
      </w:r>
      <w:r w:rsidR="008942AC">
        <w:t>neke</w:t>
      </w:r>
      <w:r w:rsidR="00486BBF">
        <w:t xml:space="preserve"> države članice daju nadležnost za odlučivanje o tužbi zbog povrede prava osobnosti, koja je možda počinjena ob</w:t>
      </w:r>
      <w:r w:rsidR="00F31835">
        <w:t>j</w:t>
      </w:r>
      <w:r w:rsidR="00486BBF">
        <w:t xml:space="preserve">avom informacija i/ili </w:t>
      </w:r>
      <w:r w:rsidR="00F31835">
        <w:t xml:space="preserve">fotografija </w:t>
      </w:r>
      <w:r w:rsidR="00A667E8">
        <w:t>na internetskoj stranici koju</w:t>
      </w:r>
      <w:r w:rsidR="00486BBF">
        <w:t xml:space="preserve"> u drugoj državi članici vodi društvo sa sjedištem u toj državi – ili i u </w:t>
      </w:r>
      <w:r w:rsidR="00A667E8">
        <w:t>nekoj drugoj</w:t>
      </w:r>
      <w:r w:rsidR="00486BBF">
        <w:t xml:space="preserve"> državi članici</w:t>
      </w:r>
      <w:r w:rsidR="00A667E8">
        <w:t>, no svaka</w:t>
      </w:r>
      <w:r w:rsidR="008942AC">
        <w:t>k</w:t>
      </w:r>
      <w:r w:rsidR="00A667E8">
        <w:t>o ne u prvoj</w:t>
      </w:r>
      <w:r w:rsidR="00486BBF">
        <w:t xml:space="preserve">, </w:t>
      </w:r>
      <w:r w:rsidR="0082530B">
        <w:t xml:space="preserve"> </w:t>
      </w:r>
    </w:p>
    <w:p w:rsidR="0082530B" w:rsidRDefault="0082530B" w:rsidP="0082530B">
      <w:pPr>
        <w:pStyle w:val="c03tiretlong"/>
      </w:pPr>
      <w:r>
        <w:t>–        </w:t>
      </w:r>
      <w:r w:rsidR="00486BBF">
        <w:t xml:space="preserve">ako ništa drugo, </w:t>
      </w:r>
      <w:r w:rsidR="00A667E8">
        <w:t xml:space="preserve">već </w:t>
      </w:r>
      <w:r w:rsidR="00486BBF">
        <w:t xml:space="preserve">zbog toga što se ta stranica može pregledavati iz prve države, </w:t>
      </w:r>
    </w:p>
    <w:p w:rsidR="0082530B" w:rsidRDefault="0082530B" w:rsidP="0082530B">
      <w:pPr>
        <w:pStyle w:val="c03tiretlong"/>
      </w:pPr>
      <w:r>
        <w:t>–        </w:t>
      </w:r>
      <w:r w:rsidR="00486BBF">
        <w:t>ako ništa drugo, kada izme</w:t>
      </w:r>
      <w:r w:rsidR="00A667E8">
        <w:t>đ</w:t>
      </w:r>
      <w:r w:rsidR="00486BBF">
        <w:t xml:space="preserve">u štetnog događaja i </w:t>
      </w:r>
      <w:r w:rsidR="00A56C67">
        <w:t>područj</w:t>
      </w:r>
      <w:r w:rsidR="00486BBF">
        <w:t xml:space="preserve">a prve države postoji dostatna, bitna ili </w:t>
      </w:r>
      <w:r w:rsidR="008942AC">
        <w:t xml:space="preserve">značajna </w:t>
      </w:r>
      <w:r w:rsidR="00486BBF">
        <w:t xml:space="preserve">veza, pri čemu se onda postavlja pitanje </w:t>
      </w:r>
      <w:r w:rsidR="00F31835">
        <w:t xml:space="preserve">može </w:t>
      </w:r>
      <w:r w:rsidR="00486BBF">
        <w:t>li ta veza pr</w:t>
      </w:r>
      <w:r w:rsidR="008942AC">
        <w:t>oizlaziti iz</w:t>
      </w:r>
    </w:p>
    <w:p w:rsidR="0082530B" w:rsidRDefault="0082530B" w:rsidP="0082530B">
      <w:pPr>
        <w:pStyle w:val="c12marge1avectiretlong"/>
      </w:pPr>
      <w:r>
        <w:t>–        </w:t>
      </w:r>
      <w:r w:rsidR="00A667E8">
        <w:t>broja posjeta spornoj stranici</w:t>
      </w:r>
      <w:r w:rsidR="00486BBF">
        <w:t xml:space="preserve"> iz prve države članice, </w:t>
      </w:r>
      <w:r w:rsidR="00A667E8">
        <w:t xml:space="preserve">u </w:t>
      </w:r>
      <w:r w:rsidR="00486BBF">
        <w:t>apsolutno</w:t>
      </w:r>
      <w:r w:rsidR="00A667E8">
        <w:t>m broju ili u odnosu na broj svih p</w:t>
      </w:r>
      <w:r w:rsidR="00486BBF">
        <w:t>o</w:t>
      </w:r>
      <w:r w:rsidR="00A667E8">
        <w:t>s</w:t>
      </w:r>
      <w:r w:rsidR="00486BBF">
        <w:t xml:space="preserve">jeta toj stranici, </w:t>
      </w:r>
    </w:p>
    <w:p w:rsidR="0082530B" w:rsidRDefault="0082530B" w:rsidP="0082530B">
      <w:pPr>
        <w:pStyle w:val="c12marge1avectiretlong"/>
      </w:pPr>
      <w:r>
        <w:t>–        </w:t>
      </w:r>
      <w:r w:rsidR="00486BBF">
        <w:t>p</w:t>
      </w:r>
      <w:r w:rsidR="00A667E8">
        <w:t>rebivališta ili državljanstva</w:t>
      </w:r>
      <w:r w:rsidR="00486BBF">
        <w:t xml:space="preserve"> osobe koja </w:t>
      </w:r>
      <w:r w:rsidR="00BF13ED">
        <w:t>ističe prigo</w:t>
      </w:r>
      <w:r w:rsidR="00A667E8">
        <w:t xml:space="preserve">vor </w:t>
      </w:r>
      <w:r w:rsidR="00BF13ED">
        <w:t xml:space="preserve">zbog povrede prava osobnosti ili općenito osobe koja je time pogođena, </w:t>
      </w:r>
      <w:r>
        <w:t xml:space="preserve"> </w:t>
      </w:r>
    </w:p>
    <w:p w:rsidR="0082530B" w:rsidRDefault="0082530B" w:rsidP="0082530B">
      <w:pPr>
        <w:pStyle w:val="c12marge1avectiretlong"/>
      </w:pPr>
      <w:r>
        <w:t>–        </w:t>
      </w:r>
      <w:r w:rsidR="00BF13ED">
        <w:t xml:space="preserve">jezika na kojem se distribuira sporna </w:t>
      </w:r>
      <w:r w:rsidR="00F31835">
        <w:t>informacija</w:t>
      </w:r>
      <w:r w:rsidR="00BF13ED">
        <w:t xml:space="preserve"> ili svake druge okolnosti koja je pri</w:t>
      </w:r>
      <w:r w:rsidR="00A667E8">
        <w:t>kladna potvrditi volju vlasnika</w:t>
      </w:r>
      <w:r w:rsidR="00BF13ED">
        <w:t xml:space="preserve"> internetske stranice da se </w:t>
      </w:r>
      <w:r w:rsidR="00A667E8">
        <w:t xml:space="preserve">posebno </w:t>
      </w:r>
      <w:r w:rsidR="00BF13ED">
        <w:t xml:space="preserve">obrati </w:t>
      </w:r>
      <w:r w:rsidR="00A667E8">
        <w:t>javn</w:t>
      </w:r>
      <w:r w:rsidR="00BF13ED">
        <w:t>o</w:t>
      </w:r>
      <w:r w:rsidR="00A667E8">
        <w:t>s</w:t>
      </w:r>
      <w:r w:rsidR="00BF13ED">
        <w:t>ti prv</w:t>
      </w:r>
      <w:r w:rsidR="00A667E8">
        <w:t>e države</w:t>
      </w:r>
      <w:r w:rsidR="00BF13ED">
        <w:t xml:space="preserve">, </w:t>
      </w:r>
      <w:r>
        <w:t xml:space="preserve"> </w:t>
      </w:r>
    </w:p>
    <w:p w:rsidR="0082530B" w:rsidRDefault="0082530B" w:rsidP="0082530B">
      <w:pPr>
        <w:pStyle w:val="c12marge1avectiretlong"/>
      </w:pPr>
      <w:r>
        <w:t>–        </w:t>
      </w:r>
      <w:r w:rsidR="00BF13ED">
        <w:t>mjesta na kojem se dogodio opisani događaj i/ili na kojem su eventualno snimljene obj</w:t>
      </w:r>
      <w:r w:rsidR="00A667E8">
        <w:t>a</w:t>
      </w:r>
      <w:r w:rsidR="00BF13ED">
        <w:t xml:space="preserve">vljene fotografije, </w:t>
      </w:r>
    </w:p>
    <w:p w:rsidR="0082530B" w:rsidRDefault="0082530B" w:rsidP="0082530B">
      <w:pPr>
        <w:pStyle w:val="c12marge1avectiretlong"/>
      </w:pPr>
      <w:r>
        <w:t>–        </w:t>
      </w:r>
      <w:r w:rsidR="00BF13ED">
        <w:t xml:space="preserve">drugih kriterija? </w:t>
      </w:r>
    </w:p>
    <w:p w:rsidR="0082530B" w:rsidRPr="006077BC" w:rsidRDefault="0082530B" w:rsidP="0082530B">
      <w:pPr>
        <w:pStyle w:val="c01pointnumerotealtn"/>
      </w:pPr>
      <w:bookmarkStart w:id="29" w:name="point30"/>
      <w:r w:rsidRPr="006077BC">
        <w:t>30</w:t>
      </w:r>
      <w:bookmarkEnd w:id="29"/>
      <w:r w:rsidRPr="006077BC">
        <w:t>     </w:t>
      </w:r>
      <w:r w:rsidR="00BF13ED" w:rsidRPr="006077BC">
        <w:t xml:space="preserve">Odlukom od 29. listopada </w:t>
      </w:r>
      <w:r w:rsidRPr="006077BC">
        <w:t>2010</w:t>
      </w:r>
      <w:r w:rsidR="00721C2A" w:rsidRPr="006077BC">
        <w:t>.</w:t>
      </w:r>
      <w:r w:rsidR="0072740F" w:rsidRPr="006077BC">
        <w:t xml:space="preserve"> predsjednik Suda </w:t>
      </w:r>
      <w:r w:rsidR="00721C2A" w:rsidRPr="006077BC">
        <w:t xml:space="preserve">je </w:t>
      </w:r>
      <w:r w:rsidR="0072740F" w:rsidRPr="006077BC">
        <w:t>s</w:t>
      </w:r>
      <w:r w:rsidR="00BF13ED" w:rsidRPr="006077BC">
        <w:t xml:space="preserve">ukladno članku 43. Pravilnika Suda spojio predmete </w:t>
      </w:r>
      <w:r w:rsidRPr="006077BC">
        <w:t>C</w:t>
      </w:r>
      <w:r w:rsidRPr="006077BC">
        <w:noBreakHyphen/>
        <w:t xml:space="preserve">509/09 </w:t>
      </w:r>
      <w:r w:rsidR="00BF13ED" w:rsidRPr="006077BC">
        <w:t xml:space="preserve">i </w:t>
      </w:r>
      <w:r w:rsidR="00721C2A" w:rsidRPr="006077BC">
        <w:t>C</w:t>
      </w:r>
      <w:r w:rsidR="00721C2A" w:rsidRPr="006077BC">
        <w:noBreakHyphen/>
        <w:t>161/10 kako bi se o njima raspravilo na</w:t>
      </w:r>
      <w:r w:rsidR="00BF13ED" w:rsidRPr="006077BC">
        <w:t xml:space="preserve"> zajedničk</w:t>
      </w:r>
      <w:r w:rsidR="00721C2A" w:rsidRPr="006077BC">
        <w:t>oj usmenoj raspravi</w:t>
      </w:r>
      <w:r w:rsidR="00BF13ED" w:rsidRPr="006077BC">
        <w:t xml:space="preserve"> i z</w:t>
      </w:r>
      <w:r w:rsidR="00721C2A" w:rsidRPr="006077BC">
        <w:t>a</w:t>
      </w:r>
      <w:r w:rsidR="00BF13ED" w:rsidRPr="006077BC">
        <w:t>jedničk</w:t>
      </w:r>
      <w:r w:rsidR="00721C2A" w:rsidRPr="006077BC">
        <w:t xml:space="preserve">i odlučilo o njima. </w:t>
      </w:r>
    </w:p>
    <w:p w:rsidR="006077BC" w:rsidRPr="006077BC" w:rsidRDefault="006077BC" w:rsidP="00C741BF">
      <w:pPr>
        <w:spacing w:before="100" w:beforeAutospacing="1" w:after="100" w:afterAutospacing="1" w:line="240" w:lineRule="auto"/>
        <w:rPr>
          <w:rFonts w:ascii="Times New Roman" w:hAnsi="Times New Roman"/>
          <w:b/>
          <w:sz w:val="24"/>
        </w:rPr>
      </w:pPr>
      <w:r w:rsidRPr="006077BC">
        <w:rPr>
          <w:rFonts w:ascii="Times New Roman" w:hAnsi="Times New Roman"/>
          <w:b/>
          <w:sz w:val="24"/>
        </w:rPr>
        <w:t>Dopuštenost</w:t>
      </w:r>
    </w:p>
    <w:p w:rsidR="006077BC" w:rsidRPr="006077BC" w:rsidRDefault="006077BC" w:rsidP="00C741BF">
      <w:pPr>
        <w:spacing w:before="100" w:beforeAutospacing="1" w:after="100" w:afterAutospacing="1" w:line="240" w:lineRule="auto"/>
        <w:rPr>
          <w:rFonts w:ascii="Times New Roman" w:hAnsi="Times New Roman"/>
          <w:sz w:val="24"/>
        </w:rPr>
      </w:pPr>
      <w:r w:rsidRPr="006077BC">
        <w:rPr>
          <w:rFonts w:ascii="Times New Roman" w:hAnsi="Times New Roman"/>
          <w:sz w:val="24"/>
        </w:rPr>
        <w:t>[30-36]</w:t>
      </w:r>
    </w:p>
    <w:p w:rsidR="00C741BF" w:rsidRDefault="0082530B" w:rsidP="00C741BF">
      <w:pPr>
        <w:spacing w:before="100" w:beforeAutospacing="1" w:after="100" w:afterAutospacing="1" w:line="240" w:lineRule="auto"/>
        <w:rPr>
          <w:rFonts w:ascii="Times New Roman" w:hAnsi="Times New Roman"/>
          <w:sz w:val="24"/>
          <w:szCs w:val="24"/>
        </w:rPr>
      </w:pPr>
      <w:r w:rsidRPr="006077BC">
        <w:rPr>
          <w:rFonts w:ascii="Times New Roman" w:hAnsi="Times New Roman"/>
          <w:sz w:val="24"/>
        </w:rPr>
        <w:t> </w:t>
      </w:r>
      <w:r w:rsidR="00C741BF" w:rsidRPr="006077BC">
        <w:rPr>
          <w:rFonts w:ascii="Times New Roman" w:hAnsi="Times New Roman"/>
          <w:b/>
          <w:bCs/>
          <w:sz w:val="24"/>
          <w:szCs w:val="24"/>
        </w:rPr>
        <w:t>O pita</w:t>
      </w:r>
      <w:r w:rsidR="00C741BF">
        <w:rPr>
          <w:rFonts w:ascii="Times New Roman" w:hAnsi="Times New Roman"/>
          <w:b/>
          <w:bCs/>
          <w:sz w:val="24"/>
          <w:szCs w:val="24"/>
        </w:rPr>
        <w:t xml:space="preserve">njima iz zahtjeva za prethodnim tumačenjem </w:t>
      </w:r>
    </w:p>
    <w:p w:rsidR="0082530B" w:rsidRDefault="0082530B" w:rsidP="0082530B">
      <w:pPr>
        <w:pStyle w:val="c05titre2"/>
      </w:pPr>
      <w:r w:rsidRPr="00C741BF">
        <w:rPr>
          <w:i/>
        </w:rPr>
        <w:t> </w:t>
      </w:r>
      <w:r w:rsidR="00C741BF" w:rsidRPr="00C741BF">
        <w:rPr>
          <w:i/>
        </w:rPr>
        <w:t>O tumačenju</w:t>
      </w:r>
      <w:r w:rsidR="00C741BF">
        <w:rPr>
          <w:i/>
          <w:iCs/>
        </w:rPr>
        <w:t xml:space="preserve"> članka 5. stavka 3. Uredbe </w:t>
      </w:r>
    </w:p>
    <w:p w:rsidR="0082530B" w:rsidRDefault="0082530B" w:rsidP="0082530B">
      <w:pPr>
        <w:pStyle w:val="c01pointnumerotealtn"/>
      </w:pPr>
      <w:bookmarkStart w:id="30" w:name="point37"/>
      <w:r>
        <w:t>37</w:t>
      </w:r>
      <w:bookmarkEnd w:id="30"/>
      <w:r>
        <w:t>      </w:t>
      </w:r>
      <w:r w:rsidR="00B96AE1">
        <w:t>Prvim dvama</w:t>
      </w:r>
      <w:r w:rsidR="00C741BF">
        <w:t xml:space="preserve"> pitanj</w:t>
      </w:r>
      <w:r w:rsidR="00B96AE1">
        <w:t>im</w:t>
      </w:r>
      <w:r w:rsidR="00C741BF">
        <w:t xml:space="preserve">a u predmetu </w:t>
      </w:r>
      <w:r>
        <w:t>C</w:t>
      </w:r>
      <w:r>
        <w:noBreakHyphen/>
        <w:t xml:space="preserve">509/09 </w:t>
      </w:r>
      <w:r w:rsidR="00C741BF">
        <w:t xml:space="preserve">i jedinim pitanjem u predmetu </w:t>
      </w:r>
      <w:r>
        <w:t>C</w:t>
      </w:r>
      <w:r>
        <w:noBreakHyphen/>
        <w:t xml:space="preserve">161/10, </w:t>
      </w:r>
      <w:r w:rsidR="00C741BF">
        <w:t>koje treba sagledati zajedno, sudovi koji su Sudu up</w:t>
      </w:r>
      <w:r w:rsidR="00AB6523">
        <w:t>utili prethodno pitanje, žele z</w:t>
      </w:r>
      <w:r w:rsidR="00C741BF">
        <w:t>n</w:t>
      </w:r>
      <w:r w:rsidR="00AB6523">
        <w:t>a</w:t>
      </w:r>
      <w:r w:rsidR="00C741BF">
        <w:t>ti kako se treba tumačiti izraz „</w:t>
      </w:r>
      <w:r w:rsidR="00B42FF8">
        <w:t>mjesto</w:t>
      </w:r>
      <w:r w:rsidR="00C741BF">
        <w:t xml:space="preserve"> gdje se štetni događaj dogodio, ili gdje bi se mogao dogoditi“ iz članka 5. stavka 3. Uredbe u slučaju tužbe zbog povrede prava osobnosti </w:t>
      </w:r>
      <w:r w:rsidR="00B96AE1">
        <w:t xml:space="preserve">putem sadržaja </w:t>
      </w:r>
      <w:r w:rsidR="00C741BF">
        <w:t xml:space="preserve">internetske stranice. </w:t>
      </w:r>
    </w:p>
    <w:p w:rsidR="0082530B" w:rsidRDefault="0082530B" w:rsidP="0082530B">
      <w:pPr>
        <w:pStyle w:val="c01pointnumerotealtn"/>
      </w:pPr>
      <w:bookmarkStart w:id="31" w:name="point38"/>
      <w:r>
        <w:t>38</w:t>
      </w:r>
      <w:bookmarkEnd w:id="31"/>
      <w:r>
        <w:t>      </w:t>
      </w:r>
      <w:r w:rsidR="00C741BF">
        <w:t xml:space="preserve">Kako bi se odgovorilo na ta pitanja, s jedne strane treba ukazati na to da se odredbe Uredbe sukladno stalnoj sudskoj praksi trebaju tumačiti autonomno te uzimajući u obzir njezinu sistematiku i ciljeve </w:t>
      </w:r>
      <w:r>
        <w:t>(v</w:t>
      </w:r>
      <w:r w:rsidR="00C741BF">
        <w:t xml:space="preserve">idi između ostaloga presudu od </w:t>
      </w:r>
      <w:r>
        <w:t xml:space="preserve">16. </w:t>
      </w:r>
      <w:r w:rsidR="00C741BF">
        <w:t xml:space="preserve">srpnja </w:t>
      </w:r>
      <w:r>
        <w:t>2009</w:t>
      </w:r>
      <w:r w:rsidR="00C741BF">
        <w:t>.</w:t>
      </w:r>
      <w:r>
        <w:t xml:space="preserve">, </w:t>
      </w:r>
      <w:r w:rsidRPr="00E56882">
        <w:rPr>
          <w:i/>
        </w:rPr>
        <w:t>Zuid-Chemie</w:t>
      </w:r>
      <w:r>
        <w:t>, C</w:t>
      </w:r>
      <w:r>
        <w:noBreakHyphen/>
        <w:t xml:space="preserve">189/08, </w:t>
      </w:r>
      <w:r w:rsidR="00C741BF">
        <w:rPr>
          <w:rFonts w:ascii="Arial" w:hAnsi="Arial" w:cs="Arial"/>
        </w:rPr>
        <w:t>[</w:t>
      </w:r>
      <w:r>
        <w:t>2009</w:t>
      </w:r>
      <w:r w:rsidR="00C741BF">
        <w:rPr>
          <w:rFonts w:ascii="Arial" w:hAnsi="Arial" w:cs="Arial"/>
        </w:rPr>
        <w:t>]</w:t>
      </w:r>
      <w:r w:rsidR="00C741BF">
        <w:t xml:space="preserve"> ECR</w:t>
      </w:r>
      <w:r>
        <w:t>, I</w:t>
      </w:r>
      <w:r>
        <w:noBreakHyphen/>
        <w:t xml:space="preserve">6917, </w:t>
      </w:r>
      <w:r w:rsidR="00C741BF">
        <w:t>točka 1</w:t>
      </w:r>
      <w:r>
        <w:t>7</w:t>
      </w:r>
      <w:r w:rsidR="00AB6523">
        <w:t>. i tamo navedenu sudsku praksu</w:t>
      </w:r>
      <w:r w:rsidR="00C741BF">
        <w:t xml:space="preserve">). </w:t>
      </w:r>
    </w:p>
    <w:p w:rsidR="0082530B" w:rsidRDefault="0082530B" w:rsidP="0082530B">
      <w:pPr>
        <w:pStyle w:val="c01pointnumerotealtn"/>
      </w:pPr>
      <w:bookmarkStart w:id="32" w:name="point39"/>
      <w:r>
        <w:lastRenderedPageBreak/>
        <w:t>39</w:t>
      </w:r>
      <w:bookmarkEnd w:id="32"/>
      <w:r>
        <w:t>      </w:t>
      </w:r>
      <w:r w:rsidR="00B92059">
        <w:t xml:space="preserve">Budući da je s druge strane Uredba u odnosima između država članica zamijenila Konvenciju od 27. rujna 1968. </w:t>
      </w:r>
      <w:r w:rsidR="00663E3B">
        <w:t>o nadležnosti i ovrsi sudskih od</w:t>
      </w:r>
      <w:r w:rsidR="00B92059">
        <w:t>luka u građanskim i trgovačkim predmetima (Sl. 1972, L 299, str</w:t>
      </w:r>
      <w:r>
        <w:t>. 32</w:t>
      </w:r>
      <w:r w:rsidR="00B96AE1">
        <w:t>.</w:t>
      </w:r>
      <w:r>
        <w:t xml:space="preserve">) </w:t>
      </w:r>
      <w:r w:rsidR="00B92059">
        <w:t>u verziji sporazuma o pristupanju novih držav</w:t>
      </w:r>
      <w:r w:rsidR="00814586">
        <w:t>a članica ovoj Konvenciji, tuma</w:t>
      </w:r>
      <w:r w:rsidR="00B92059">
        <w:t>čenje odredaba ove Konvencije od strane Suda vrijedi i za Uredbu, ukoliko se odredbe tog pravnog akta Z</w:t>
      </w:r>
      <w:r w:rsidR="00814586">
        <w:t>ajednice mogu smatrati istoznačnima</w:t>
      </w:r>
      <w:r>
        <w:t xml:space="preserve"> (</w:t>
      </w:r>
      <w:r w:rsidR="00B92059" w:rsidRPr="00E56882">
        <w:rPr>
          <w:i/>
        </w:rPr>
        <w:t>Zuid-Chemie,</w:t>
      </w:r>
      <w:r w:rsidR="00B92059">
        <w:t xml:space="preserve"> točka</w:t>
      </w:r>
      <w:r>
        <w:t> 18</w:t>
      </w:r>
      <w:r w:rsidR="00B92059">
        <w:t>.</w:t>
      </w:r>
      <w:r>
        <w:t xml:space="preserve">). </w:t>
      </w:r>
    </w:p>
    <w:p w:rsidR="0082530B" w:rsidRDefault="0082530B" w:rsidP="0082530B">
      <w:pPr>
        <w:pStyle w:val="c01pointnumerotealtn"/>
      </w:pPr>
      <w:bookmarkStart w:id="33" w:name="point40"/>
      <w:r>
        <w:t>40</w:t>
      </w:r>
      <w:bookmarkEnd w:id="33"/>
      <w:r>
        <w:t>      </w:t>
      </w:r>
      <w:r w:rsidR="00B42FF8">
        <w:t>Prema stalnoj sudskoj praksi se</w:t>
      </w:r>
      <w:r w:rsidR="00814586">
        <w:t xml:space="preserve"> pravilo posebne nadležnosti, </w:t>
      </w:r>
      <w:r w:rsidR="00B42FF8">
        <w:t xml:space="preserve">kojim se u članku 5. stavku 3. Uredbe odstupa od načela nadležnosti sudova u sjedištu tuženika, temelji na tomu da između spora i sudova </w:t>
      </w:r>
      <w:r w:rsidR="00814586">
        <w:t>u mjestu</w:t>
      </w:r>
      <w:r w:rsidR="00B42FF8">
        <w:t>, na kojem je došlo do š</w:t>
      </w:r>
      <w:r w:rsidR="00814586">
        <w:t>tetnog događaja, postoji posebno</w:t>
      </w:r>
      <w:r w:rsidR="00B42FF8">
        <w:t xml:space="preserve"> bliska veza između suda i spora</w:t>
      </w:r>
      <w:r w:rsidR="00814586">
        <w:t>,</w:t>
      </w:r>
      <w:r w:rsidR="00B42FF8">
        <w:t xml:space="preserve"> koja iz razloga pravilnog suđenja i primjerenog vođenja postupka opravdava nadležnost tih sudova </w:t>
      </w:r>
      <w:r>
        <w:t>(v</w:t>
      </w:r>
      <w:r w:rsidR="00B42FF8">
        <w:t xml:space="preserve">idi presudu </w:t>
      </w:r>
      <w:r w:rsidR="00FD6A22" w:rsidRPr="00FD6A22">
        <w:rPr>
          <w:i/>
        </w:rPr>
        <w:t>Zuid-Chemie</w:t>
      </w:r>
      <w:r>
        <w:t xml:space="preserve">, </w:t>
      </w:r>
      <w:r w:rsidR="00B96AE1">
        <w:t xml:space="preserve">točku </w:t>
      </w:r>
      <w:r>
        <w:t>24</w:t>
      </w:r>
      <w:r w:rsidR="00B42FF8">
        <w:t>.</w:t>
      </w:r>
      <w:r>
        <w:t xml:space="preserve"> </w:t>
      </w:r>
      <w:r w:rsidR="00B42FF8">
        <w:t xml:space="preserve">i tamo navedenu sudsku praksu). </w:t>
      </w:r>
    </w:p>
    <w:p w:rsidR="0082530B" w:rsidRDefault="0082530B" w:rsidP="0082530B">
      <w:pPr>
        <w:pStyle w:val="c01pointnumerotealtn"/>
      </w:pPr>
      <w:bookmarkStart w:id="34" w:name="point41"/>
      <w:r>
        <w:t>41</w:t>
      </w:r>
      <w:bookmarkEnd w:id="34"/>
      <w:r>
        <w:t>      </w:t>
      </w:r>
      <w:r w:rsidR="00B42FF8">
        <w:t>Nadalje, treba voditi računa o tomu da izraz „mjesto gdje</w:t>
      </w:r>
      <w:r w:rsidR="00814586">
        <w:t xml:space="preserve"> se štetni događaj dogodio“ podrazu</w:t>
      </w:r>
      <w:r w:rsidR="00B42FF8">
        <w:t xml:space="preserve">mijeva </w:t>
      </w:r>
      <w:r w:rsidR="00814586">
        <w:t>i mjesto uzročnog događaja, ali</w:t>
      </w:r>
      <w:r w:rsidR="00B42FF8">
        <w:t xml:space="preserve"> i mjesto ostvarenja štete. Oba ova mjesta bi</w:t>
      </w:r>
      <w:r w:rsidR="00814586">
        <w:t>, s aspekta sud</w:t>
      </w:r>
      <w:r w:rsidR="00B42FF8">
        <w:t>ske nadležnosti</w:t>
      </w:r>
      <w:r w:rsidR="00814586">
        <w:t>,</w:t>
      </w:r>
      <w:r w:rsidR="00B42FF8">
        <w:t xml:space="preserve"> </w:t>
      </w:r>
      <w:r w:rsidR="00CD36C4">
        <w:t xml:space="preserve">mogla utemeljiti </w:t>
      </w:r>
      <w:r w:rsidR="00E56882">
        <w:t>značajn</w:t>
      </w:r>
      <w:r w:rsidR="00CD36C4">
        <w:t>u vezu, budući da oba, ovisno o situaciji slu</w:t>
      </w:r>
      <w:r w:rsidR="00814586">
        <w:t>čaja, mogu dati posebno bitne</w:t>
      </w:r>
      <w:r w:rsidR="00CD36C4">
        <w:t xml:space="preserve"> naznake za izvođenje dokaza i za tijek postupka </w:t>
      </w:r>
      <w:r>
        <w:t>(</w:t>
      </w:r>
      <w:r w:rsidR="00CD36C4">
        <w:t xml:space="preserve">presuda od </w:t>
      </w:r>
      <w:r>
        <w:t xml:space="preserve">7. </w:t>
      </w:r>
      <w:r w:rsidR="00CD36C4">
        <w:t xml:space="preserve">ožujka </w:t>
      </w:r>
      <w:r>
        <w:t>1995</w:t>
      </w:r>
      <w:r w:rsidR="00CD36C4">
        <w:t>.</w:t>
      </w:r>
      <w:r>
        <w:t xml:space="preserve">, </w:t>
      </w:r>
      <w:r w:rsidRPr="00E56882">
        <w:rPr>
          <w:i/>
        </w:rPr>
        <w:t xml:space="preserve">Shevill </w:t>
      </w:r>
      <w:r w:rsidR="00E56882" w:rsidRPr="00E56882">
        <w:rPr>
          <w:i/>
        </w:rPr>
        <w:t>i dr.,</w:t>
      </w:r>
      <w:r>
        <w:t xml:space="preserve"> C</w:t>
      </w:r>
      <w:r>
        <w:noBreakHyphen/>
        <w:t xml:space="preserve">68/93, </w:t>
      </w:r>
      <w:r w:rsidR="00CD36C4">
        <w:rPr>
          <w:rFonts w:ascii="Arial" w:hAnsi="Arial" w:cs="Arial"/>
        </w:rPr>
        <w:t>[</w:t>
      </w:r>
      <w:r>
        <w:t>1995</w:t>
      </w:r>
      <w:r w:rsidR="00CD36C4">
        <w:rPr>
          <w:rFonts w:ascii="Arial" w:hAnsi="Arial" w:cs="Arial"/>
        </w:rPr>
        <w:t>]</w:t>
      </w:r>
      <w:r w:rsidR="00CD36C4">
        <w:t xml:space="preserve"> ECR</w:t>
      </w:r>
      <w:r>
        <w:t>, I</w:t>
      </w:r>
      <w:r>
        <w:noBreakHyphen/>
        <w:t xml:space="preserve">415, </w:t>
      </w:r>
      <w:r w:rsidR="00B96AE1">
        <w:t xml:space="preserve">točke </w:t>
      </w:r>
      <w:r>
        <w:t>20</w:t>
      </w:r>
      <w:r w:rsidR="00CD36C4">
        <w:t>. i 21.</w:t>
      </w:r>
      <w:r>
        <w:t xml:space="preserve">). </w:t>
      </w:r>
    </w:p>
    <w:p w:rsidR="0082530B" w:rsidRDefault="0082530B" w:rsidP="0082530B">
      <w:pPr>
        <w:pStyle w:val="c01pointnumerotealtn"/>
      </w:pPr>
      <w:bookmarkStart w:id="35" w:name="point42"/>
      <w:r>
        <w:t>42</w:t>
      </w:r>
      <w:bookmarkEnd w:id="35"/>
      <w:r>
        <w:t>      Z</w:t>
      </w:r>
      <w:r w:rsidR="000621FB">
        <w:t xml:space="preserve">a primjenu ove dvije poveznice kod tužbi radi naknade nematerijalne štete, koja je prouzročena publikacijom štetnom za ugled osobe, Sud je odlučio </w:t>
      </w:r>
      <w:r w:rsidR="00E56882">
        <w:t>da kod povrede časti</w:t>
      </w:r>
      <w:r w:rsidR="00BC2A9F">
        <w:t xml:space="preserve"> uzrokovano novinskim člankom koji je distribuiran u više država potpisnica, osoba čija je čast povrijeđena može podići tužbu protiv izdavača pred sudovima države ugovornice u kojoj izdavač te publikacije ima svoj poslovni nastan, ali i pred sudovima svake države ugovornice, u kojoj je publikacija distribuirana i u kojoj je</w:t>
      </w:r>
      <w:r w:rsidR="00814586">
        <w:t>, prema izjavi te osobe,</w:t>
      </w:r>
      <w:r w:rsidR="00BC2A9F">
        <w:t xml:space="preserve"> narušen </w:t>
      </w:r>
      <w:r w:rsidR="00814586">
        <w:t xml:space="preserve">njezin </w:t>
      </w:r>
      <w:r w:rsidR="00BC2A9F">
        <w:t xml:space="preserve">ugled; pritom </w:t>
      </w:r>
      <w:r w:rsidR="00814586">
        <w:t>su prvo spomenuti sudovi nadlež</w:t>
      </w:r>
      <w:r w:rsidR="00BC2A9F">
        <w:t xml:space="preserve">ni za odlučivanje o naknadi svih šteta nastalih </w:t>
      </w:r>
      <w:r w:rsidR="00814586">
        <w:t>zbog povrede</w:t>
      </w:r>
      <w:r w:rsidR="00BC2A9F">
        <w:t xml:space="preserve"> časti, a ovi drugi sudovi samo o naknadi šte</w:t>
      </w:r>
      <w:r w:rsidR="00814586">
        <w:t xml:space="preserve">te koja je prouzročena u državi, u kojoj se nalazi </w:t>
      </w:r>
      <w:r w:rsidR="00BC2A9F">
        <w:t>su</w:t>
      </w:r>
      <w:r w:rsidR="00814586">
        <w:t>d</w:t>
      </w:r>
      <w:r w:rsidR="00BC2A9F">
        <w:t xml:space="preserve"> pred kojim je pokrenuta tužba </w:t>
      </w:r>
      <w:r>
        <w:t>(</w:t>
      </w:r>
      <w:r w:rsidRPr="00D055BB">
        <w:rPr>
          <w:i/>
        </w:rPr>
        <w:t xml:space="preserve">Shevill </w:t>
      </w:r>
      <w:r w:rsidR="00BC2A9F" w:rsidRPr="00D055BB">
        <w:rPr>
          <w:i/>
        </w:rPr>
        <w:t>i dr.</w:t>
      </w:r>
      <w:r>
        <w:t xml:space="preserve">, </w:t>
      </w:r>
      <w:r w:rsidR="00BC2A9F">
        <w:t xml:space="preserve">točka </w:t>
      </w:r>
      <w:r>
        <w:t>33</w:t>
      </w:r>
      <w:r w:rsidR="00B96AE1">
        <w:t>.</w:t>
      </w:r>
      <w:r>
        <w:t xml:space="preserve">). </w:t>
      </w:r>
    </w:p>
    <w:p w:rsidR="0082530B" w:rsidRDefault="0082530B" w:rsidP="0082530B">
      <w:pPr>
        <w:pStyle w:val="c01pointnumerotealtn"/>
      </w:pPr>
      <w:bookmarkStart w:id="36" w:name="point43"/>
      <w:r>
        <w:t>43</w:t>
      </w:r>
      <w:bookmarkEnd w:id="36"/>
      <w:r>
        <w:t>      </w:t>
      </w:r>
      <w:r w:rsidR="00D055BB">
        <w:t>Osim toga</w:t>
      </w:r>
      <w:r w:rsidR="00306DCF">
        <w:t xml:space="preserve">, </w:t>
      </w:r>
      <w:r w:rsidR="004C6C00">
        <w:t>Sud je u tom kontekstu utvrdi</w:t>
      </w:r>
      <w:r w:rsidR="00306DCF">
        <w:t>o da ograničenje nadležn</w:t>
      </w:r>
      <w:r w:rsidR="004C6C00">
        <w:t>o</w:t>
      </w:r>
      <w:r w:rsidR="00306DCF">
        <w:t>s</w:t>
      </w:r>
      <w:r w:rsidR="004C6C00">
        <w:t xml:space="preserve">ti sudova </w:t>
      </w:r>
      <w:r w:rsidR="0045677F">
        <w:t>države distribucije na štete prouzročene u državi</w:t>
      </w:r>
      <w:r w:rsidR="00306DCF">
        <w:t>, u kojoj se nalazi sud,</w:t>
      </w:r>
      <w:r w:rsidR="0045677F">
        <w:t xml:space="preserve"> sa sobom </w:t>
      </w:r>
      <w:r w:rsidR="00306DCF">
        <w:t xml:space="preserve">doduše </w:t>
      </w:r>
      <w:r w:rsidR="0045677F">
        <w:t>nosi nedostatke, ali da tužitelj uvijek ima mogućnost svoj</w:t>
      </w:r>
      <w:r w:rsidR="00B86FB9">
        <w:t xml:space="preserve"> zahtjev </w:t>
      </w:r>
      <w:r w:rsidR="0045677F">
        <w:t>u cijelosti ostvariti ili pred sudom nadležnim za prebivalište tuženika ili pred sudom koji je nadležan za mjesto poslovnog nastana izd</w:t>
      </w:r>
      <w:r w:rsidR="00306DCF">
        <w:t>avača koji je izdao tu p</w:t>
      </w:r>
      <w:r w:rsidR="0045677F">
        <w:t xml:space="preserve">ublikaciju kojom se narušava ugled druge osobe </w:t>
      </w:r>
      <w:r>
        <w:t>(</w:t>
      </w:r>
      <w:r w:rsidRPr="00B86FB9">
        <w:rPr>
          <w:i/>
        </w:rPr>
        <w:t xml:space="preserve">Shevill </w:t>
      </w:r>
      <w:r w:rsidR="0045677F" w:rsidRPr="00B86FB9">
        <w:rPr>
          <w:i/>
        </w:rPr>
        <w:t>i dr.</w:t>
      </w:r>
      <w:r w:rsidR="0045677F">
        <w:t xml:space="preserve">, točka </w:t>
      </w:r>
      <w:r>
        <w:t>32</w:t>
      </w:r>
      <w:r w:rsidR="0045677F">
        <w:t>.</w:t>
      </w:r>
      <w:r>
        <w:t xml:space="preserve">). </w:t>
      </w:r>
    </w:p>
    <w:p w:rsidR="0082530B" w:rsidRDefault="0082530B" w:rsidP="0082530B">
      <w:pPr>
        <w:pStyle w:val="c01pointnumerotealtn"/>
      </w:pPr>
      <w:bookmarkStart w:id="37" w:name="point44"/>
      <w:r>
        <w:t>44</w:t>
      </w:r>
      <w:bookmarkEnd w:id="37"/>
      <w:r>
        <w:t>      </w:t>
      </w:r>
      <w:r w:rsidR="0045677F">
        <w:t xml:space="preserve">Ta </w:t>
      </w:r>
      <w:r w:rsidR="00B86FB9">
        <w:t>razmatranja</w:t>
      </w:r>
      <w:r w:rsidR="0045677F">
        <w:t>, kao što je naveo nezavisni odvjetnik u točki 39</w:t>
      </w:r>
      <w:r w:rsidR="00801AFE">
        <w:t xml:space="preserve">. svog mišljenja, mogu </w:t>
      </w:r>
      <w:r w:rsidR="00B96AE1">
        <w:t xml:space="preserve">vrijediti </w:t>
      </w:r>
      <w:r w:rsidR="00B86FB9">
        <w:t xml:space="preserve">i u pogledu drugih medija i sredstava komunikacije te raznovrsnih povreda </w:t>
      </w:r>
      <w:r w:rsidR="0045677F">
        <w:t xml:space="preserve">prava osobnosti, koje su poznate u raznim pravnim </w:t>
      </w:r>
      <w:r w:rsidR="00B96AE1">
        <w:t>porecima</w:t>
      </w:r>
      <w:r w:rsidR="0045677F">
        <w:t xml:space="preserve">, u koje spadaju i one zbog kojih su tužitelji glavnih postupaka podigli tužbu. </w:t>
      </w:r>
      <w:r>
        <w:t xml:space="preserve"> </w:t>
      </w:r>
    </w:p>
    <w:p w:rsidR="0082530B" w:rsidRDefault="0082530B" w:rsidP="0082530B">
      <w:pPr>
        <w:pStyle w:val="c01pointnumerotealtn"/>
      </w:pPr>
      <w:bookmarkStart w:id="38" w:name="point45"/>
      <w:r>
        <w:t>45</w:t>
      </w:r>
      <w:bookmarkEnd w:id="38"/>
      <w:r>
        <w:t>      </w:t>
      </w:r>
      <w:r w:rsidR="0045677F">
        <w:t>Kao što izlažu i sudovi koji su podnijeli zahtjeve za prethodnim tumačenjem, ali i većina stranaka u postupku</w:t>
      </w:r>
      <w:r w:rsidR="00801AFE">
        <w:t>,</w:t>
      </w:r>
      <w:r w:rsidR="0045677F">
        <w:t xml:space="preserve"> k</w:t>
      </w:r>
      <w:r w:rsidR="00801AFE">
        <w:t>oje su svoja stajališta iznijele</w:t>
      </w:r>
      <w:r w:rsidR="0045677F">
        <w:t xml:space="preserve"> pred Sudom, objava sadržaja na internetskoj stranici se od objave medija koje je vezano za određeno područje, poput npr. tiskovine, razlikuje po tomu što je načelno usmjeren</w:t>
      </w:r>
      <w:r w:rsidR="00801AFE">
        <w:t>a</w:t>
      </w:r>
      <w:r w:rsidR="0045677F">
        <w:t xml:space="preserve"> na </w:t>
      </w:r>
      <w:r w:rsidR="00801AFE">
        <w:t xml:space="preserve">sveprisutnost </w:t>
      </w:r>
      <w:r w:rsidR="0045677F">
        <w:t xml:space="preserve">tih sadržaja. </w:t>
      </w:r>
      <w:r w:rsidR="00801AFE">
        <w:t>Te s</w:t>
      </w:r>
      <w:r w:rsidR="0045677F">
        <w:t>adržaje neposredno može pregledati neograničeni broj korisnika diljem svij</w:t>
      </w:r>
      <w:r w:rsidR="00801AFE">
        <w:t xml:space="preserve">eta, neovisno o tomu je li </w:t>
      </w:r>
      <w:r w:rsidR="0045677F">
        <w:t xml:space="preserve">bila namjera njihova autora da se mogu čitati i izvan države njegova sjedišta, bez da je on imao </w:t>
      </w:r>
      <w:r w:rsidR="00801AFE">
        <w:t xml:space="preserve">ikakva </w:t>
      </w:r>
      <w:r w:rsidR="0045677F">
        <w:t xml:space="preserve">utjecaja na to. </w:t>
      </w:r>
    </w:p>
    <w:p w:rsidR="0082530B" w:rsidRDefault="0082530B" w:rsidP="0082530B">
      <w:pPr>
        <w:pStyle w:val="c01pointnumerotealtn"/>
      </w:pPr>
      <w:bookmarkStart w:id="39" w:name="point46"/>
      <w:r>
        <w:lastRenderedPageBreak/>
        <w:t>46</w:t>
      </w:r>
      <w:bookmarkEnd w:id="39"/>
      <w:r>
        <w:t>      Internet</w:t>
      </w:r>
      <w:r w:rsidR="00D432E4">
        <w:t>, dakle,</w:t>
      </w:r>
      <w:r>
        <w:t xml:space="preserve"> </w:t>
      </w:r>
      <w:r w:rsidR="0070225C">
        <w:t xml:space="preserve">ograničava korist kriterija distribucije budući da je domet sadržaja objavljenih na internetu </w:t>
      </w:r>
      <w:r w:rsidR="0011296A">
        <w:t>na</w:t>
      </w:r>
      <w:r w:rsidR="00D432E4">
        <w:t>čelno globalan. I</w:t>
      </w:r>
      <w:r w:rsidR="0011296A">
        <w:t>sto tako nije uvijek tehnički moguće da se ta dis</w:t>
      </w:r>
      <w:r w:rsidR="00D432E4">
        <w:t>tribucija</w:t>
      </w:r>
      <w:r w:rsidR="0011296A">
        <w:t xml:space="preserve"> sigurno i pouzdano kvantificira za konkre</w:t>
      </w:r>
      <w:r w:rsidR="00D432E4">
        <w:t>tnu državu članicu te da se</w:t>
      </w:r>
      <w:r w:rsidR="0011296A">
        <w:t xml:space="preserve"> točno odredi šteta prouzročena </w:t>
      </w:r>
      <w:r w:rsidR="00D432E4">
        <w:t xml:space="preserve">isključivo </w:t>
      </w:r>
      <w:r w:rsidR="0011296A">
        <w:t xml:space="preserve">u toj državi članici. </w:t>
      </w:r>
    </w:p>
    <w:p w:rsidR="0082530B" w:rsidRDefault="0082530B" w:rsidP="0082530B">
      <w:pPr>
        <w:pStyle w:val="c01pointnumerotealtn"/>
      </w:pPr>
      <w:bookmarkStart w:id="40" w:name="point47"/>
      <w:r>
        <w:t>47</w:t>
      </w:r>
      <w:bookmarkEnd w:id="40"/>
      <w:r>
        <w:t>      </w:t>
      </w:r>
      <w:r w:rsidR="00D432E4">
        <w:t>Poteškoće kod primjene</w:t>
      </w:r>
      <w:r w:rsidR="00E666AD">
        <w:t xml:space="preserve"> kriterija ostvarenja štete, koji je uveden u presudi </w:t>
      </w:r>
      <w:r w:rsidRPr="001A5834">
        <w:rPr>
          <w:i/>
        </w:rPr>
        <w:t xml:space="preserve">Shevill </w:t>
      </w:r>
      <w:r w:rsidR="00D432E4" w:rsidRPr="001A5834">
        <w:rPr>
          <w:i/>
        </w:rPr>
        <w:t>i dr.</w:t>
      </w:r>
      <w:r w:rsidR="00D432E4">
        <w:t>, na internet su</w:t>
      </w:r>
      <w:r w:rsidR="00E666AD">
        <w:t xml:space="preserve">, kao što je naveo nezavisni odvjetnik u točki 56. svoga mišljenja, </w:t>
      </w:r>
      <w:r w:rsidR="00D432E4">
        <w:t xml:space="preserve">u suprotnosti </w:t>
      </w:r>
      <w:r w:rsidR="00E666AD">
        <w:t>s tež</w:t>
      </w:r>
      <w:r w:rsidR="00D432E4">
        <w:t>inom povrede koju može pretrpjeti vlasnika prava osobnosti</w:t>
      </w:r>
      <w:r w:rsidR="00E666AD">
        <w:t xml:space="preserve"> koji ustanovi da je neki sadržaj</w:t>
      </w:r>
      <w:r w:rsidR="00D432E4">
        <w:t>,</w:t>
      </w:r>
      <w:r w:rsidR="00E666AD">
        <w:t xml:space="preserve"> koji predstavlja povredu tog prava, dostupan na svakom mjestu ovoga svijeta</w:t>
      </w:r>
      <w:r>
        <w:t xml:space="preserve">. </w:t>
      </w:r>
    </w:p>
    <w:p w:rsidR="0082530B" w:rsidRDefault="0082530B" w:rsidP="0082530B">
      <w:pPr>
        <w:pStyle w:val="c01pointnumerotealtn"/>
      </w:pPr>
      <w:bookmarkStart w:id="41" w:name="point48"/>
      <w:r>
        <w:t>48</w:t>
      </w:r>
      <w:bookmarkEnd w:id="41"/>
      <w:r>
        <w:t>      </w:t>
      </w:r>
      <w:r w:rsidR="00E666AD">
        <w:t xml:space="preserve">Stoga se poveznice iz točke 42. ove presude moraju prilagoditi tako </w:t>
      </w:r>
      <w:r w:rsidR="00511541">
        <w:t>da se žrtva povrede prava osobnos</w:t>
      </w:r>
      <w:r w:rsidR="00E666AD">
        <w:t>ti</w:t>
      </w:r>
      <w:r w:rsidR="00511541">
        <w:t>,</w:t>
      </w:r>
      <w:r w:rsidR="00E666AD">
        <w:t xml:space="preserve"> koja je počinjena putem interneta</w:t>
      </w:r>
      <w:r w:rsidR="00511541">
        <w:t>,</w:t>
      </w:r>
      <w:r w:rsidR="00E666AD">
        <w:t xml:space="preserve"> prema mjestu na kojem je došlo do nastanka štete uzrokovane tom povredom u Europskoj</w:t>
      </w:r>
      <w:r w:rsidR="00B96AE1">
        <w:t>u</w:t>
      </w:r>
      <w:r w:rsidR="00E666AD">
        <w:t xml:space="preserve">niji, može obratiti jednom </w:t>
      </w:r>
      <w:r w:rsidR="00511541">
        <w:t xml:space="preserve">jedinom </w:t>
      </w:r>
      <w:r w:rsidR="00E666AD">
        <w:t>sudu za cjelokupnu štetu. Budući da posljedic</w:t>
      </w:r>
      <w:r w:rsidR="00511541">
        <w:t>e sadržaja objavljenog na inter</w:t>
      </w:r>
      <w:r w:rsidR="00E666AD">
        <w:t xml:space="preserve">netu </w:t>
      </w:r>
      <w:r w:rsidR="00511541">
        <w:t>na prava osobnosti najbolje može</w:t>
      </w:r>
      <w:r w:rsidR="00E666AD">
        <w:t xml:space="preserve"> ocijeniti sud u mjestu u kojem vjerojatna žrtva ima središte svojih interesa</w:t>
      </w:r>
      <w:r w:rsidR="00511541">
        <w:t>, određivanje nadležnosti tog suda</w:t>
      </w:r>
      <w:r w:rsidR="00E666AD">
        <w:t xml:space="preserve"> odgovara cilju pravilnog suđenja iz točke 40. ove presude. </w:t>
      </w:r>
      <w:r>
        <w:t xml:space="preserve"> </w:t>
      </w:r>
    </w:p>
    <w:p w:rsidR="0082530B" w:rsidRDefault="0082530B" w:rsidP="0082530B">
      <w:pPr>
        <w:pStyle w:val="c01pointnumerotealtn"/>
      </w:pPr>
      <w:bookmarkStart w:id="42" w:name="point49"/>
      <w:r>
        <w:t>49</w:t>
      </w:r>
      <w:bookmarkEnd w:id="42"/>
      <w:r>
        <w:t>      </w:t>
      </w:r>
      <w:r w:rsidR="004352A6">
        <w:t>Mjesto u kojem osoba ima središte svojih interesa odgovara u pravilu njezinom uobičajenom boravištu. No, osoba može imati središte svojih interesa i u nekoj</w:t>
      </w:r>
      <w:r w:rsidR="00434A9B">
        <w:t xml:space="preserve"> drugoj državi članici, u kojoj obično ne boravi, a</w:t>
      </w:r>
      <w:r w:rsidR="004352A6">
        <w:t xml:space="preserve">ko druge indicije, kao što je npr. obavljanje poslovne </w:t>
      </w:r>
      <w:r w:rsidR="00DE17E7">
        <w:t xml:space="preserve">djelatnosti, mogu uspostaviti posebnu blisku vezu s tom državom. </w:t>
      </w:r>
      <w:r>
        <w:t xml:space="preserve"> </w:t>
      </w:r>
    </w:p>
    <w:p w:rsidR="0082530B" w:rsidRDefault="0082530B" w:rsidP="0082530B">
      <w:pPr>
        <w:pStyle w:val="c01pointnumerotealtn"/>
      </w:pPr>
      <w:bookmarkStart w:id="43" w:name="point50"/>
      <w:r>
        <w:t>50</w:t>
      </w:r>
      <w:bookmarkEnd w:id="43"/>
      <w:r>
        <w:t>      </w:t>
      </w:r>
      <w:r w:rsidR="0058576E">
        <w:t>Nadležnost suda u mjestu u kojem vjerojatna žrtva ima središte svojih interesa</w:t>
      </w:r>
      <w:r w:rsidR="0014537A">
        <w:t xml:space="preserve"> </w:t>
      </w:r>
      <w:r w:rsidR="0058576E">
        <w:t xml:space="preserve">je u skladu s ciljem </w:t>
      </w:r>
      <w:r w:rsidR="00434A9B">
        <w:t>predvid</w:t>
      </w:r>
      <w:r w:rsidR="0014537A">
        <w:t>lj</w:t>
      </w:r>
      <w:r w:rsidR="00434A9B">
        <w:t>ivosti propisa o nadležn</w:t>
      </w:r>
      <w:r w:rsidR="0058576E">
        <w:t>o</w:t>
      </w:r>
      <w:r w:rsidR="00434A9B">
        <w:t>s</w:t>
      </w:r>
      <w:r w:rsidR="0058576E">
        <w:t xml:space="preserve">ti </w:t>
      </w:r>
      <w:r>
        <w:t>(v</w:t>
      </w:r>
      <w:r w:rsidR="0058576E">
        <w:t xml:space="preserve">idi presudu od </w:t>
      </w:r>
      <w:r>
        <w:t xml:space="preserve">12. </w:t>
      </w:r>
      <w:r w:rsidR="0058576E">
        <w:t xml:space="preserve">svibnja </w:t>
      </w:r>
      <w:r>
        <w:t>2011</w:t>
      </w:r>
      <w:r w:rsidR="0058576E">
        <w:t>.</w:t>
      </w:r>
      <w:r>
        <w:t xml:space="preserve">, </w:t>
      </w:r>
      <w:r w:rsidRPr="0014537A">
        <w:rPr>
          <w:i/>
        </w:rPr>
        <w:t>BVG,</w:t>
      </w:r>
      <w:r>
        <w:t xml:space="preserve"> C</w:t>
      </w:r>
      <w:r>
        <w:noBreakHyphen/>
        <w:t xml:space="preserve">144/10, </w:t>
      </w:r>
      <w:r w:rsidR="0058576E">
        <w:t xml:space="preserve">još </w:t>
      </w:r>
      <w:r w:rsidR="00A25E73">
        <w:t xml:space="preserve">neobjavljena </w:t>
      </w:r>
      <w:r w:rsidR="0058576E">
        <w:t>u službenoj zbirci</w:t>
      </w:r>
      <w:r>
        <w:t xml:space="preserve">, </w:t>
      </w:r>
      <w:r w:rsidR="0058576E">
        <w:t xml:space="preserve">točka </w:t>
      </w:r>
      <w:r>
        <w:t>33</w:t>
      </w:r>
      <w:r w:rsidR="0058576E">
        <w:t>.</w:t>
      </w:r>
      <w:r>
        <w:t xml:space="preserve">), </w:t>
      </w:r>
      <w:r w:rsidR="0058576E">
        <w:t xml:space="preserve">i to i s obzirom na tuženika budući da </w:t>
      </w:r>
      <w:r w:rsidR="00434A9B">
        <w:t xml:space="preserve">je </w:t>
      </w:r>
      <w:r w:rsidR="0058576E">
        <w:t xml:space="preserve">autor uvredljivog sadržaja u trenutku, u kojem </w:t>
      </w:r>
      <w:r w:rsidR="00434A9B">
        <w:t>se sad</w:t>
      </w:r>
      <w:r w:rsidR="0058576E">
        <w:t>ržaj objavljuje na internetu, u stanju prepoznati središte interesa osoba o kojima se radi. Stoga kriter</w:t>
      </w:r>
      <w:r w:rsidR="00434A9B">
        <w:t>ij središta interesa omogućava</w:t>
      </w:r>
      <w:r w:rsidR="0058576E">
        <w:t xml:space="preserve"> tužitelju da bez poteškoća ustanovi kojem se sudu može obratit, ali i tuženiku</w:t>
      </w:r>
      <w:r w:rsidR="00434A9B">
        <w:t xml:space="preserve"> da zna</w:t>
      </w:r>
      <w:r w:rsidR="0058576E">
        <w:t xml:space="preserve"> pred kojim se sudom može podići tužba protiv njega </w:t>
      </w:r>
      <w:r>
        <w:t>(</w:t>
      </w:r>
      <w:r w:rsidR="0058576E">
        <w:t>vidi presudu od</w:t>
      </w:r>
      <w:r>
        <w:t xml:space="preserve"> 23. </w:t>
      </w:r>
      <w:r w:rsidR="0058576E">
        <w:t xml:space="preserve">travnja </w:t>
      </w:r>
      <w:r>
        <w:t>2009</w:t>
      </w:r>
      <w:r w:rsidR="0058576E">
        <w:t>.</w:t>
      </w:r>
      <w:r>
        <w:t xml:space="preserve">, </w:t>
      </w:r>
      <w:r w:rsidRPr="0014537A">
        <w:rPr>
          <w:i/>
        </w:rPr>
        <w:t xml:space="preserve">Falco </w:t>
      </w:r>
      <w:r w:rsidR="0014537A">
        <w:rPr>
          <w:i/>
        </w:rPr>
        <w:t>Privatstiftung</w:t>
      </w:r>
      <w:r>
        <w:t>, C</w:t>
      </w:r>
      <w:r>
        <w:noBreakHyphen/>
        <w:t xml:space="preserve">533/07, </w:t>
      </w:r>
      <w:r w:rsidR="0058576E">
        <w:rPr>
          <w:rFonts w:ascii="Arial" w:hAnsi="Arial" w:cs="Arial"/>
        </w:rPr>
        <w:t>[</w:t>
      </w:r>
      <w:r>
        <w:t>2009</w:t>
      </w:r>
      <w:r w:rsidR="0058576E">
        <w:rPr>
          <w:rFonts w:ascii="Arial" w:hAnsi="Arial" w:cs="Arial"/>
        </w:rPr>
        <w:t xml:space="preserve">] </w:t>
      </w:r>
      <w:r w:rsidR="00FD6A22" w:rsidRPr="00FD6A22">
        <w:t>ECR</w:t>
      </w:r>
      <w:r w:rsidRPr="00DF77C8">
        <w:t>,</w:t>
      </w:r>
      <w:r>
        <w:t xml:space="preserve"> I</w:t>
      </w:r>
      <w:r>
        <w:noBreakHyphen/>
        <w:t xml:space="preserve">3327, </w:t>
      </w:r>
      <w:r w:rsidR="00DF77C8">
        <w:t xml:space="preserve">točku </w:t>
      </w:r>
      <w:r>
        <w:t>22</w:t>
      </w:r>
      <w:r w:rsidR="0058576E">
        <w:t xml:space="preserve">. i tamo navedena sudska praksa). </w:t>
      </w:r>
      <w:r>
        <w:t xml:space="preserve"> </w:t>
      </w:r>
    </w:p>
    <w:p w:rsidR="0082530B" w:rsidRDefault="0082530B" w:rsidP="0082530B">
      <w:pPr>
        <w:pStyle w:val="c01pointnumerotealtn"/>
      </w:pPr>
      <w:bookmarkStart w:id="44" w:name="point51"/>
      <w:r>
        <w:t>51</w:t>
      </w:r>
      <w:bookmarkEnd w:id="44"/>
      <w:r>
        <w:t>      </w:t>
      </w:r>
      <w:r w:rsidR="00FF6ADB">
        <w:t xml:space="preserve">Umjesto tužbe zbog odgovornosti na naknadu cjelokupne štete su prema kriteriju nastanka štete, koji je uveden u presudi </w:t>
      </w:r>
      <w:r w:rsidR="00FD6A22" w:rsidRPr="00FD6A22">
        <w:rPr>
          <w:i/>
        </w:rPr>
        <w:t>Shevill i dr.</w:t>
      </w:r>
      <w:r w:rsidR="00FF6ADB">
        <w:t xml:space="preserve">, </w:t>
      </w:r>
      <w:r w:rsidR="00434A9B">
        <w:t xml:space="preserve">i </w:t>
      </w:r>
      <w:r w:rsidR="00FF6ADB">
        <w:t xml:space="preserve">nadalje nadležni i sudovi svake države članice na čijem je </w:t>
      </w:r>
      <w:r w:rsidR="00A56C67">
        <w:t>područj</w:t>
      </w:r>
      <w:r w:rsidR="00FF6ADB">
        <w:t xml:space="preserve">u sadržaj, koji je objavljen na internetu, dostupan ili je bio dostupan. </w:t>
      </w:r>
      <w:r w:rsidR="00EC439F">
        <w:t xml:space="preserve">Oni su nadležni samo za odluku o šteti koja je prouzročena na </w:t>
      </w:r>
      <w:r w:rsidR="00A56C67">
        <w:t>područj</w:t>
      </w:r>
      <w:r w:rsidR="00EC439F">
        <w:t>u države članice</w:t>
      </w:r>
      <w:r w:rsidR="00434A9B">
        <w:t xml:space="preserve"> u kojoj se nalazi</w:t>
      </w:r>
      <w:r w:rsidR="00EC439F">
        <w:t xml:space="preserve"> sud pred kojim je pokrenuta tužba. </w:t>
      </w:r>
      <w:r>
        <w:t xml:space="preserve"> </w:t>
      </w:r>
    </w:p>
    <w:p w:rsidR="0082530B" w:rsidRDefault="0082530B" w:rsidP="0082530B">
      <w:pPr>
        <w:pStyle w:val="c01pointnumerotealtn"/>
      </w:pPr>
      <w:bookmarkStart w:id="45" w:name="point52"/>
      <w:r>
        <w:t>52</w:t>
      </w:r>
      <w:bookmarkEnd w:id="45"/>
      <w:r>
        <w:t>      </w:t>
      </w:r>
      <w:r w:rsidR="00EC439F">
        <w:t xml:space="preserve">Stoga se na prva dva pitanja u predmetu </w:t>
      </w:r>
      <w:r>
        <w:t>C</w:t>
      </w:r>
      <w:r>
        <w:noBreakHyphen/>
        <w:t xml:space="preserve">509/09 </w:t>
      </w:r>
      <w:r w:rsidR="00EC439F">
        <w:t xml:space="preserve">i na jedino pitanje u predmetu </w:t>
      </w:r>
      <w:r>
        <w:t>C</w:t>
      </w:r>
      <w:r>
        <w:noBreakHyphen/>
        <w:t xml:space="preserve">161/10 </w:t>
      </w:r>
      <w:r w:rsidR="00EC439F">
        <w:t xml:space="preserve">mora odgovoriti da članak 5. stavak 3. Uredbe treba tumačiti tako da se </w:t>
      </w:r>
      <w:r w:rsidR="0014537A" w:rsidRPr="0014537A">
        <w:t xml:space="preserve">u slučaju navodne povrede prava osobnosti </w:t>
      </w:r>
      <w:r w:rsidR="00DF77C8">
        <w:t>putem</w:t>
      </w:r>
      <w:r w:rsidR="00DF77C8" w:rsidRPr="0014537A">
        <w:t xml:space="preserve"> sadržaj</w:t>
      </w:r>
      <w:r w:rsidR="00DF77C8">
        <w:t>a</w:t>
      </w:r>
      <w:r w:rsidR="00DF77C8" w:rsidRPr="0014537A">
        <w:t xml:space="preserve"> </w:t>
      </w:r>
      <w:r w:rsidR="0014537A" w:rsidRPr="0014537A">
        <w:t xml:space="preserve">koji su objavljeni na nekoj internetskoj stranici, </w:t>
      </w:r>
      <w:r w:rsidR="00DF77C8" w:rsidRPr="0014537A">
        <w:t>osoba</w:t>
      </w:r>
      <w:r w:rsidR="00DF77C8">
        <w:t xml:space="preserve"> koja </w:t>
      </w:r>
      <w:r w:rsidR="0014537A" w:rsidRPr="0014537A">
        <w:t>smatra da su njezina prava povrijeđena ima mogućnost podnijeti tužbu za naknadu cjelokupne štete bilo pred sudovima države članice u kojoj autor tih sadržaja ima svoj poslovni nastan, bilo pred sudovima države članice u kojoj se nalazi središte njezinih interesa. Umjesto tužbe za naknadu cjelokupne štete ta osoba tužbu može podnijeti i pred sudovima bilo koje države članice na čijem je području sadržaj koji je objavljen na internetu dostupan ili je bio dostupan. Ti su sudovi nadležni samo za odlučivanje o šteti koja je prouzročena na području države članice u kojoj se nalazi su</w:t>
      </w:r>
      <w:r w:rsidR="0014537A">
        <w:t>d pred kojim je podnesena tužba</w:t>
      </w:r>
      <w:r w:rsidR="00EC439F">
        <w:t xml:space="preserve">. </w:t>
      </w:r>
      <w:r>
        <w:t xml:space="preserve"> </w:t>
      </w:r>
    </w:p>
    <w:p w:rsidR="0082530B" w:rsidRDefault="00EC439F" w:rsidP="0082530B">
      <w:pPr>
        <w:pStyle w:val="c05titre2"/>
      </w:pPr>
      <w:r>
        <w:rPr>
          <w:i/>
          <w:iCs/>
        </w:rPr>
        <w:t xml:space="preserve">O tumačenju članka 3. Direktive </w:t>
      </w:r>
      <w:r w:rsidR="0082530B">
        <w:rPr>
          <w:i/>
          <w:iCs/>
        </w:rPr>
        <w:t>2000/31</w:t>
      </w:r>
    </w:p>
    <w:p w:rsidR="0082530B" w:rsidRDefault="0082530B" w:rsidP="0082530B">
      <w:pPr>
        <w:pStyle w:val="c01pointnumerotealtn"/>
      </w:pPr>
      <w:bookmarkStart w:id="46" w:name="point53"/>
      <w:r>
        <w:lastRenderedPageBreak/>
        <w:t>53</w:t>
      </w:r>
      <w:bookmarkEnd w:id="46"/>
      <w:r>
        <w:t>      </w:t>
      </w:r>
      <w:r w:rsidR="00A1003A">
        <w:t>S</w:t>
      </w:r>
      <w:r w:rsidR="00DA57BE">
        <w:t xml:space="preserve">vojim trećim pitanjem u predmetu </w:t>
      </w:r>
      <w:r>
        <w:t>C</w:t>
      </w:r>
      <w:r>
        <w:noBreakHyphen/>
        <w:t xml:space="preserve">509/09 </w:t>
      </w:r>
      <w:r w:rsidR="00FD6A22" w:rsidRPr="00FD6A22">
        <w:rPr>
          <w:i/>
        </w:rPr>
        <w:t>Bundesgerichtshof</w:t>
      </w:r>
      <w:r>
        <w:t xml:space="preserve"> </w:t>
      </w:r>
      <w:r w:rsidR="00AE4BC2">
        <w:t>želi znati imaju</w:t>
      </w:r>
      <w:r w:rsidR="00DA57BE">
        <w:t xml:space="preserve"> li odredbe iz članka 3. stav</w:t>
      </w:r>
      <w:r w:rsidR="00DF77C8">
        <w:t>a</w:t>
      </w:r>
      <w:r w:rsidR="00DA57BE">
        <w:t>ka 1. i 2. Direktive kolizijskopravni karakter</w:t>
      </w:r>
      <w:r w:rsidR="00AE4BC2">
        <w:t>,</w:t>
      </w:r>
      <w:r w:rsidR="00DA57BE">
        <w:t xml:space="preserve"> u tom smislu da i za područje građ</w:t>
      </w:r>
      <w:r w:rsidR="00AE4BC2">
        <w:t>a</w:t>
      </w:r>
      <w:r w:rsidR="00DA57BE">
        <w:t>nskog prava, potisk</w:t>
      </w:r>
      <w:r w:rsidR="00AE4BC2">
        <w:t>ujući nacionalne kolizijske norme</w:t>
      </w:r>
      <w:r w:rsidR="00DA57BE">
        <w:t xml:space="preserve"> za usluge informatičkog društva, nalaže isključivo primjenu prava koje vrijedi u državi podrijetla ili se kod tih odredbi radi o korektivu prava</w:t>
      </w:r>
      <w:r w:rsidR="00AE4BC2">
        <w:t>,</w:t>
      </w:r>
      <w:r w:rsidR="00DA57BE">
        <w:t xml:space="preserve"> koje je prema nacionalnim kolizijskim normama proglašeno mjerodavnim, kako bi </w:t>
      </w:r>
      <w:r w:rsidR="00AE4BC2">
        <w:t xml:space="preserve">se ono </w:t>
      </w:r>
      <w:r w:rsidR="00DA57BE">
        <w:t>sukl</w:t>
      </w:r>
      <w:r w:rsidR="00AE4BC2">
        <w:t>a</w:t>
      </w:r>
      <w:r w:rsidR="00DA57BE">
        <w:t>dno zahtjevima zemlje podrijetla sadržajno modificira</w:t>
      </w:r>
      <w:r w:rsidR="00AE4BC2">
        <w:t>l</w:t>
      </w:r>
      <w:r w:rsidR="001B1E87">
        <w:t>o.</w:t>
      </w:r>
    </w:p>
    <w:p w:rsidR="0082530B" w:rsidRDefault="0082530B" w:rsidP="0082530B">
      <w:pPr>
        <w:pStyle w:val="c01pointnumerotealtn"/>
      </w:pPr>
      <w:bookmarkStart w:id="47" w:name="point54"/>
      <w:r>
        <w:t>54</w:t>
      </w:r>
      <w:bookmarkEnd w:id="47"/>
      <w:r>
        <w:t>      </w:t>
      </w:r>
      <w:r w:rsidR="006A2D97">
        <w:t>Kod preispitivanja tih odredbi ne smije se u obzir u</w:t>
      </w:r>
      <w:r w:rsidR="00A44E7C">
        <w:t>z</w:t>
      </w:r>
      <w:r w:rsidR="006A2D97">
        <w:t>eti samo njiho</w:t>
      </w:r>
      <w:r w:rsidR="00A44E7C">
        <w:t>v tekst, već i njihov kontekst te ciljevi, koji se žele</w:t>
      </w:r>
      <w:r w:rsidR="006A2D97">
        <w:t xml:space="preserve"> postići </w:t>
      </w:r>
      <w:r w:rsidR="00A25E73">
        <w:t xml:space="preserve">propisima čiji su </w:t>
      </w:r>
      <w:r w:rsidR="006A2D97">
        <w:t>sastavni dio</w:t>
      </w:r>
      <w:r w:rsidR="00A44E7C">
        <w:t xml:space="preserve"> </w:t>
      </w:r>
      <w:r>
        <w:t>(v</w:t>
      </w:r>
      <w:r w:rsidR="00A44E7C">
        <w:t>idi presudu</w:t>
      </w:r>
      <w:r w:rsidR="006A2D97">
        <w:t xml:space="preserve"> od</w:t>
      </w:r>
      <w:r>
        <w:t xml:space="preserve"> 19.</w:t>
      </w:r>
      <w:r w:rsidR="00A25E73">
        <w:t xml:space="preserve"> </w:t>
      </w:r>
      <w:r w:rsidR="006A2D97">
        <w:t xml:space="preserve">rujna </w:t>
      </w:r>
      <w:r>
        <w:t>2000</w:t>
      </w:r>
      <w:r w:rsidR="006A2D97">
        <w:t>.</w:t>
      </w:r>
      <w:r>
        <w:t xml:space="preserve">, </w:t>
      </w:r>
      <w:r w:rsidR="006A2D97" w:rsidRPr="00A25E73">
        <w:rPr>
          <w:i/>
        </w:rPr>
        <w:t>Njemačka</w:t>
      </w:r>
      <w:r w:rsidR="00A25E73">
        <w:rPr>
          <w:i/>
        </w:rPr>
        <w:t xml:space="preserve"> </w:t>
      </w:r>
      <w:r w:rsidR="00874808">
        <w:rPr>
          <w:i/>
        </w:rPr>
        <w:t>protiv Komisije</w:t>
      </w:r>
      <w:r w:rsidR="006A2D97">
        <w:t xml:space="preserve">, </w:t>
      </w:r>
      <w:r>
        <w:t>C</w:t>
      </w:r>
      <w:r>
        <w:noBreakHyphen/>
        <w:t xml:space="preserve">156/98, </w:t>
      </w:r>
      <w:r w:rsidR="006A2D97">
        <w:rPr>
          <w:rFonts w:ascii="Arial" w:hAnsi="Arial" w:cs="Arial"/>
        </w:rPr>
        <w:t>[</w:t>
      </w:r>
      <w:r>
        <w:t>2000</w:t>
      </w:r>
      <w:r w:rsidR="006A2D97">
        <w:rPr>
          <w:rFonts w:ascii="Arial" w:hAnsi="Arial" w:cs="Arial"/>
        </w:rPr>
        <w:t>]</w:t>
      </w:r>
      <w:r w:rsidR="006A2D97">
        <w:t xml:space="preserve"> ECR</w:t>
      </w:r>
      <w:r>
        <w:t>, I</w:t>
      </w:r>
      <w:r>
        <w:noBreakHyphen/>
        <w:t xml:space="preserve">6857, </w:t>
      </w:r>
      <w:r w:rsidR="006A2D97">
        <w:t xml:space="preserve">točka </w:t>
      </w:r>
      <w:r>
        <w:t>50</w:t>
      </w:r>
      <w:r w:rsidR="006A2D97">
        <w:t>.</w:t>
      </w:r>
      <w:r>
        <w:t xml:space="preserve">, </w:t>
      </w:r>
      <w:r w:rsidR="00A44E7C">
        <w:t xml:space="preserve">presudu </w:t>
      </w:r>
      <w:r w:rsidR="006A2D97">
        <w:t xml:space="preserve">od </w:t>
      </w:r>
      <w:r>
        <w:t xml:space="preserve">7. </w:t>
      </w:r>
      <w:r w:rsidR="006A2D97">
        <w:t xml:space="preserve">prosinca </w:t>
      </w:r>
      <w:r>
        <w:t>2006</w:t>
      </w:r>
      <w:r w:rsidR="006A2D97">
        <w:t>.</w:t>
      </w:r>
      <w:r>
        <w:t xml:space="preserve">, </w:t>
      </w:r>
      <w:r w:rsidRPr="00A25E73">
        <w:rPr>
          <w:i/>
        </w:rPr>
        <w:t>SGAE</w:t>
      </w:r>
      <w:r>
        <w:t>, C</w:t>
      </w:r>
      <w:r>
        <w:noBreakHyphen/>
        <w:t xml:space="preserve">306/05, </w:t>
      </w:r>
      <w:r w:rsidR="006A2D97">
        <w:rPr>
          <w:rFonts w:ascii="Arial" w:hAnsi="Arial" w:cs="Arial"/>
        </w:rPr>
        <w:t>[</w:t>
      </w:r>
      <w:r>
        <w:t>2006</w:t>
      </w:r>
      <w:r w:rsidR="006A2D97">
        <w:rPr>
          <w:rFonts w:ascii="Arial" w:hAnsi="Arial" w:cs="Arial"/>
        </w:rPr>
        <w:t>]</w:t>
      </w:r>
      <w:r w:rsidR="006A2D97">
        <w:t xml:space="preserve"> ECR</w:t>
      </w:r>
      <w:r>
        <w:t>, I</w:t>
      </w:r>
      <w:r>
        <w:noBreakHyphen/>
        <w:t xml:space="preserve">11519, </w:t>
      </w:r>
      <w:r w:rsidR="006A2D97">
        <w:t xml:space="preserve">točka </w:t>
      </w:r>
      <w:r>
        <w:t>34</w:t>
      </w:r>
      <w:r w:rsidR="006A2D97">
        <w:t>.</w:t>
      </w:r>
      <w:r>
        <w:t xml:space="preserve">, </w:t>
      </w:r>
      <w:r w:rsidR="006A2D97">
        <w:t xml:space="preserve">i </w:t>
      </w:r>
      <w:r w:rsidR="00A44E7C">
        <w:t xml:space="preserve">presudu </w:t>
      </w:r>
      <w:r w:rsidR="006A2D97">
        <w:t xml:space="preserve">od </w:t>
      </w:r>
      <w:r>
        <w:t xml:space="preserve">7. </w:t>
      </w:r>
      <w:r w:rsidR="006A2D97">
        <w:t xml:space="preserve">listopada </w:t>
      </w:r>
      <w:r>
        <w:t>2010</w:t>
      </w:r>
      <w:r w:rsidR="006A2D97">
        <w:t>.</w:t>
      </w:r>
      <w:r>
        <w:t xml:space="preserve">, </w:t>
      </w:r>
      <w:r w:rsidRPr="00A25E73">
        <w:rPr>
          <w:i/>
        </w:rPr>
        <w:t>Lassal,</w:t>
      </w:r>
      <w:r>
        <w:t xml:space="preserve"> C</w:t>
      </w:r>
      <w:r>
        <w:noBreakHyphen/>
        <w:t xml:space="preserve">162/09, </w:t>
      </w:r>
      <w:r w:rsidR="006A2D97">
        <w:t xml:space="preserve">još </w:t>
      </w:r>
      <w:r w:rsidR="00A25E73">
        <w:t xml:space="preserve">neobjavljena </w:t>
      </w:r>
      <w:r w:rsidR="006A2D97">
        <w:t xml:space="preserve">u službenoj zbirci, točka </w:t>
      </w:r>
      <w:r>
        <w:t>49</w:t>
      </w:r>
      <w:r w:rsidR="006A2D97">
        <w:t>.</w:t>
      </w:r>
      <w:r>
        <w:t xml:space="preserve">). </w:t>
      </w:r>
    </w:p>
    <w:p w:rsidR="0082530B" w:rsidRDefault="0082530B" w:rsidP="0082530B">
      <w:pPr>
        <w:pStyle w:val="c01pointnumerotealtn"/>
      </w:pPr>
      <w:bookmarkStart w:id="48" w:name="point55"/>
      <w:r>
        <w:t>55</w:t>
      </w:r>
      <w:bookmarkEnd w:id="48"/>
      <w:r>
        <w:t>      </w:t>
      </w:r>
      <w:r w:rsidR="009C024E">
        <w:t xml:space="preserve">U tom smislu je </w:t>
      </w:r>
      <w:r w:rsidR="002A6F2B">
        <w:t xml:space="preserve">onaj </w:t>
      </w:r>
      <w:r w:rsidR="009C024E">
        <w:t>dio akta Unije</w:t>
      </w:r>
      <w:r w:rsidR="002A6F2B">
        <w:t>,</w:t>
      </w:r>
      <w:r w:rsidR="009C024E">
        <w:t xml:space="preserve"> u kojem se nalaze </w:t>
      </w:r>
      <w:r w:rsidR="002A6F2B">
        <w:t xml:space="preserve">regulativne </w:t>
      </w:r>
      <w:r w:rsidR="009C024E">
        <w:t>odred</w:t>
      </w:r>
      <w:r w:rsidR="00DF77C8">
        <w:t>b</w:t>
      </w:r>
      <w:r w:rsidR="009C024E">
        <w:t>e</w:t>
      </w:r>
      <w:r w:rsidR="002A6F2B">
        <w:t>,</w:t>
      </w:r>
      <w:r w:rsidR="009C024E">
        <w:t xml:space="preserve"> nerazdvojivo povezan s njegovim obrazloženjem te se</w:t>
      </w:r>
      <w:r w:rsidR="002A6F2B">
        <w:t>,</w:t>
      </w:r>
      <w:r w:rsidR="009C024E">
        <w:t xml:space="preserve"> po potrebi</w:t>
      </w:r>
      <w:r w:rsidR="002A6F2B">
        <w:t>,</w:t>
      </w:r>
      <w:r w:rsidR="009C024E">
        <w:t xml:space="preserve"> treba tumačiti uzimajući u </w:t>
      </w:r>
      <w:r w:rsidR="002A6F2B">
        <w:t>obzir uvodne izja</w:t>
      </w:r>
      <w:r w:rsidR="009C024E">
        <w:t xml:space="preserve">ve koje su dovele do donošenja tog akta </w:t>
      </w:r>
      <w:r>
        <w:t>(</w:t>
      </w:r>
      <w:r w:rsidR="009C024E">
        <w:t xml:space="preserve">presude od </w:t>
      </w:r>
      <w:r>
        <w:t xml:space="preserve">29. </w:t>
      </w:r>
      <w:r w:rsidR="009C024E">
        <w:t>travnja</w:t>
      </w:r>
      <w:r>
        <w:t xml:space="preserve"> 2004</w:t>
      </w:r>
      <w:r w:rsidR="009C024E">
        <w:t>.</w:t>
      </w:r>
      <w:r>
        <w:t xml:space="preserve">, </w:t>
      </w:r>
      <w:r w:rsidRPr="00874808">
        <w:rPr>
          <w:i/>
        </w:rPr>
        <w:t>Itali</w:t>
      </w:r>
      <w:r w:rsidR="009C024E" w:rsidRPr="00874808">
        <w:rPr>
          <w:i/>
        </w:rPr>
        <w:t>ja</w:t>
      </w:r>
      <w:r w:rsidR="00874808" w:rsidRPr="00874808">
        <w:rPr>
          <w:i/>
        </w:rPr>
        <w:t xml:space="preserve"> protiv </w:t>
      </w:r>
      <w:r w:rsidRPr="00874808">
        <w:rPr>
          <w:i/>
        </w:rPr>
        <w:t>Kom</w:t>
      </w:r>
      <w:r w:rsidR="00874808" w:rsidRPr="00874808">
        <w:rPr>
          <w:i/>
        </w:rPr>
        <w:t>isije</w:t>
      </w:r>
      <w:r w:rsidR="009C024E">
        <w:t xml:space="preserve">, </w:t>
      </w:r>
      <w:r>
        <w:t>C</w:t>
      </w:r>
      <w:r>
        <w:noBreakHyphen/>
        <w:t xml:space="preserve">298/00 P, </w:t>
      </w:r>
      <w:r w:rsidR="009C024E">
        <w:rPr>
          <w:rFonts w:ascii="Arial" w:hAnsi="Arial" w:cs="Arial"/>
        </w:rPr>
        <w:t>[</w:t>
      </w:r>
      <w:r>
        <w:t>2004</w:t>
      </w:r>
      <w:r w:rsidR="009C024E">
        <w:rPr>
          <w:rFonts w:ascii="Arial" w:hAnsi="Arial" w:cs="Arial"/>
        </w:rPr>
        <w:t xml:space="preserve">] </w:t>
      </w:r>
      <w:r w:rsidR="00FD6A22" w:rsidRPr="00FD6A22">
        <w:t>ECR</w:t>
      </w:r>
      <w:r>
        <w:t>, I</w:t>
      </w:r>
      <w:r>
        <w:noBreakHyphen/>
        <w:t xml:space="preserve">4087, </w:t>
      </w:r>
      <w:r w:rsidR="009C024E">
        <w:t xml:space="preserve">točka 97. i tamo navedena sudska praksa te </w:t>
      </w:r>
      <w:r w:rsidR="002A6F2B">
        <w:t xml:space="preserve">presuda </w:t>
      </w:r>
      <w:r w:rsidRPr="00874808">
        <w:rPr>
          <w:i/>
        </w:rPr>
        <w:t>Lassal</w:t>
      </w:r>
      <w:r>
        <w:t xml:space="preserve">, </w:t>
      </w:r>
      <w:r w:rsidR="009C024E">
        <w:t xml:space="preserve">točka </w:t>
      </w:r>
      <w:r>
        <w:t>50</w:t>
      </w:r>
      <w:r w:rsidR="009C024E">
        <w:t>.</w:t>
      </w:r>
      <w:r>
        <w:t xml:space="preserve">). </w:t>
      </w:r>
    </w:p>
    <w:p w:rsidR="007422AD" w:rsidRDefault="0082530B" w:rsidP="007422AD">
      <w:pPr>
        <w:pStyle w:val="c01pointnumerotealtn"/>
      </w:pPr>
      <w:bookmarkStart w:id="49" w:name="point56"/>
      <w:r>
        <w:t>56</w:t>
      </w:r>
      <w:bookmarkEnd w:id="49"/>
      <w:r>
        <w:t>      Di</w:t>
      </w:r>
      <w:r w:rsidR="00FA3908">
        <w:t>rektiva</w:t>
      </w:r>
      <w:r w:rsidR="00874808">
        <w:t xml:space="preserve"> </w:t>
      </w:r>
      <w:r w:rsidR="00FA3908">
        <w:t xml:space="preserve">koja je donesena na temelju članka 47. stavka 2. Ugovora o EZ, </w:t>
      </w:r>
      <w:r w:rsidR="00D42660">
        <w:t>članka 55. Ugovora o EZ</w:t>
      </w:r>
      <w:r w:rsidR="00FA3908">
        <w:t xml:space="preserve"> i </w:t>
      </w:r>
      <w:r w:rsidR="00D42660">
        <w:t xml:space="preserve">članka </w:t>
      </w:r>
      <w:r w:rsidR="00FA3908">
        <w:t>95. Ugovora o EZ, sukladno članku 3. stavku</w:t>
      </w:r>
      <w:r w:rsidR="007422AD">
        <w:t xml:space="preserve"> 1. treba doprinijeti pravilnom</w:t>
      </w:r>
      <w:r w:rsidR="00FA3908">
        <w:t xml:space="preserve"> funkcioniranju unutarnjeg tržišta</w:t>
      </w:r>
      <w:r w:rsidR="007422AD">
        <w:t xml:space="preserve"> osiguranjem slobodnog kretanja usluga informatičkog društva između država članica. U njezinoj petoj uvodnoj izjavi se kao pravne prepreke za pravilno funkcioniranje unutarnjeg tržišta u tom području navode razlike u </w:t>
      </w:r>
      <w:r w:rsidR="00DF77C8">
        <w:t xml:space="preserve">nacionalnim </w:t>
      </w:r>
      <w:r w:rsidR="007422AD">
        <w:t xml:space="preserve">pravnim propisima te pravna nesigurnost s obzirom na nacionalne propise koji se moraju primijeniti na usluge informatičkog društva. </w:t>
      </w:r>
    </w:p>
    <w:p w:rsidR="0082530B" w:rsidRDefault="0082530B" w:rsidP="0082530B">
      <w:pPr>
        <w:pStyle w:val="c01pointnumerotealtn"/>
      </w:pPr>
      <w:bookmarkStart w:id="50" w:name="point57"/>
      <w:r>
        <w:t>57</w:t>
      </w:r>
      <w:bookmarkEnd w:id="50"/>
      <w:r>
        <w:t>      </w:t>
      </w:r>
      <w:r w:rsidR="00D42660">
        <w:t xml:space="preserve">Za većinu aspekata elektroničke trgovine </w:t>
      </w:r>
      <w:r w:rsidR="008F6B2C">
        <w:t>cilj Direktive</w:t>
      </w:r>
      <w:r w:rsidR="00D42660">
        <w:t>,</w:t>
      </w:r>
      <w:r w:rsidR="008F6B2C">
        <w:t xml:space="preserve"> međutim</w:t>
      </w:r>
      <w:r w:rsidR="00D42660">
        <w:t>,</w:t>
      </w:r>
      <w:r w:rsidR="008F6B2C">
        <w:t xml:space="preserve"> nije harmonizacija </w:t>
      </w:r>
      <w:r w:rsidR="00C27942">
        <w:t>materijalno</w:t>
      </w:r>
      <w:r w:rsidR="00C27942">
        <w:t xml:space="preserve">g </w:t>
      </w:r>
      <w:r w:rsidR="008F6B2C">
        <w:t>prava, već ona definira „područje koordinacije“</w:t>
      </w:r>
      <w:r w:rsidR="00D42660">
        <w:t>,</w:t>
      </w:r>
      <w:r w:rsidR="008F6B2C">
        <w:t xml:space="preserve"> u okviru ko</w:t>
      </w:r>
      <w:r w:rsidR="00D42660">
        <w:t>jeg odredba iz članka 9. sukladn</w:t>
      </w:r>
      <w:r w:rsidR="008F6B2C">
        <w:t>o 22. uvodnoj izjavi treba omogućiti da je za usluge informatičkog društva načelno mjerod</w:t>
      </w:r>
      <w:r w:rsidR="00D42660">
        <w:t>avan pravni sustav one države č</w:t>
      </w:r>
      <w:r w:rsidR="008F6B2C">
        <w:t>l</w:t>
      </w:r>
      <w:r w:rsidR="00D42660">
        <w:t>a</w:t>
      </w:r>
      <w:r w:rsidR="008F6B2C">
        <w:t>nice</w:t>
      </w:r>
      <w:r w:rsidR="00D42660">
        <w:t>, u kojoj</w:t>
      </w:r>
      <w:r w:rsidR="008F6B2C">
        <w:t xml:space="preserve"> ponuđač ima svoj poslovni nastan. </w:t>
      </w:r>
      <w:r>
        <w:t xml:space="preserve"> </w:t>
      </w:r>
    </w:p>
    <w:p w:rsidR="0082530B" w:rsidRDefault="0082530B" w:rsidP="0082530B">
      <w:pPr>
        <w:pStyle w:val="c01pointnumerotealtn"/>
      </w:pPr>
      <w:bookmarkStart w:id="51" w:name="point58"/>
      <w:r>
        <w:t>58</w:t>
      </w:r>
      <w:bookmarkEnd w:id="51"/>
      <w:r>
        <w:t>      </w:t>
      </w:r>
      <w:r w:rsidR="005D414B">
        <w:t>S tim u vezi treba s jedne strane u</w:t>
      </w:r>
      <w:r w:rsidR="00A64220">
        <w:t>stanoviti da pravni sustav dr</w:t>
      </w:r>
      <w:r w:rsidR="005D414B">
        <w:t>ž</w:t>
      </w:r>
      <w:r w:rsidR="00A64220">
        <w:t>a</w:t>
      </w:r>
      <w:r w:rsidR="005D414B">
        <w:t>ve članice</w:t>
      </w:r>
      <w:r w:rsidR="00A64220">
        <w:t>, u kojoj ponuđač</w:t>
      </w:r>
      <w:r w:rsidR="005D414B">
        <w:t xml:space="preserve"> usluge </w:t>
      </w:r>
      <w:r w:rsidR="00A64220">
        <w:t xml:space="preserve">ima svoje sjedište, </w:t>
      </w:r>
      <w:r w:rsidR="005D414B">
        <w:t>obuhvaća i područje građanskog prava, što između ostaloga proizlazi i iz 25. uvodne izjave Direktive i iz toga da su u Prilogu uz Direktivu navedena gr</w:t>
      </w:r>
      <w:r w:rsidR="00AC7E42">
        <w:t>ađanskopravna prava i obveze</w:t>
      </w:r>
      <w:r w:rsidR="005D414B">
        <w:t xml:space="preserve"> na koje se ne p</w:t>
      </w:r>
      <w:r w:rsidR="00AC7E42">
        <w:t>rimjenjuje odredbe iz članka 3.</w:t>
      </w:r>
      <w:r>
        <w:t xml:space="preserve"> </w:t>
      </w:r>
      <w:r w:rsidR="00A64220">
        <w:t>S druge strane,</w:t>
      </w:r>
      <w:r w:rsidR="005D414B">
        <w:t xml:space="preserve"> njegova primjena na odgovornost ponuđača usluga izričito </w:t>
      </w:r>
      <w:r w:rsidR="00A64220">
        <w:t xml:space="preserve">je </w:t>
      </w:r>
      <w:r w:rsidR="005D414B">
        <w:t>predviđena u čl</w:t>
      </w:r>
      <w:r w:rsidR="00A64220">
        <w:t xml:space="preserve">anku 2. stavku h. </w:t>
      </w:r>
      <w:r w:rsidR="009D0AE0">
        <w:t xml:space="preserve">točki </w:t>
      </w:r>
      <w:r w:rsidR="00A64220">
        <w:t>i. drugoj alineji</w:t>
      </w:r>
      <w:r w:rsidR="00AC7E42">
        <w:t xml:space="preserve"> Direktive.</w:t>
      </w:r>
    </w:p>
    <w:p w:rsidR="0082530B" w:rsidRDefault="0082530B" w:rsidP="0082530B">
      <w:pPr>
        <w:pStyle w:val="c01pointnumerotealtn"/>
      </w:pPr>
      <w:bookmarkStart w:id="52" w:name="point59"/>
      <w:r>
        <w:t>59</w:t>
      </w:r>
      <w:bookmarkEnd w:id="52"/>
      <w:r>
        <w:t>      </w:t>
      </w:r>
      <w:r w:rsidR="00204989">
        <w:t>Iz članka 3. stav</w:t>
      </w:r>
      <w:r w:rsidR="009D0AE0">
        <w:t>a</w:t>
      </w:r>
      <w:r w:rsidR="00204989">
        <w:t>ka 1. i 2. Direktive proizlazi</w:t>
      </w:r>
      <w:r w:rsidR="00DA08DD">
        <w:t>,</w:t>
      </w:r>
      <w:r w:rsidR="00204989">
        <w:t xml:space="preserve"> </w:t>
      </w:r>
      <w:r w:rsidR="00AC7E42">
        <w:t xml:space="preserve">u smislu </w:t>
      </w:r>
      <w:r w:rsidR="00204989">
        <w:t>navedenih odredaba i ciljeva</w:t>
      </w:r>
      <w:r w:rsidR="00DA08DD">
        <w:t>, da pravila</w:t>
      </w:r>
      <w:r w:rsidR="00204989">
        <w:t xml:space="preserve"> </w:t>
      </w:r>
      <w:r w:rsidR="00DA08DD">
        <w:t>predviđena u Direktivi propisuju ispunjavanje</w:t>
      </w:r>
      <w:r w:rsidR="00204989">
        <w:t xml:space="preserve"> zahtjeva </w:t>
      </w:r>
      <w:r w:rsidR="00AC7E42">
        <w:t xml:space="preserve">materijalnog </w:t>
      </w:r>
      <w:r w:rsidR="00204989">
        <w:t>prava koje vrijedi u državi</w:t>
      </w:r>
      <w:r w:rsidR="00DA08DD">
        <w:t xml:space="preserve"> članici u kojoj je sjedište</w:t>
      </w:r>
      <w:r w:rsidR="00204989">
        <w:t xml:space="preserve"> ponuđača usluge i</w:t>
      </w:r>
      <w:r w:rsidR="00DA08DD">
        <w:t xml:space="preserve"> za područje građanskog prava. N</w:t>
      </w:r>
      <w:r w:rsidR="00204989">
        <w:t xml:space="preserve">aime, </w:t>
      </w:r>
      <w:r w:rsidR="00DA08DD">
        <w:t>budući da na razini Unije ne postoje prisilne harmonizacijske</w:t>
      </w:r>
      <w:r w:rsidR="00204989">
        <w:t xml:space="preserve"> odred</w:t>
      </w:r>
      <w:r w:rsidR="00DA08DD">
        <w:t xml:space="preserve">be, samo priznanje prisilnog karaktera nacionalnih pravila, kojima, </w:t>
      </w:r>
      <w:r w:rsidR="00204989">
        <w:t>prema volji zakonodavca</w:t>
      </w:r>
      <w:r w:rsidR="00DA08DD">
        <w:t>, podliježu ponuđači</w:t>
      </w:r>
      <w:r w:rsidR="00204989">
        <w:t xml:space="preserve"> i njihove usluge, može zajamčiti punu učinkovitost slobode za pružanje tih usluga. Članak 3. stavak 4. Direktive podupire takvo gledište budući da taksativno navodi uvjete pod kojima države članice mogu odstupiti od članak 3. stavka 2. Direktive. </w:t>
      </w:r>
    </w:p>
    <w:p w:rsidR="0082530B" w:rsidRDefault="0082530B" w:rsidP="0082530B">
      <w:pPr>
        <w:pStyle w:val="c01pointnumerotealtn"/>
      </w:pPr>
      <w:bookmarkStart w:id="53" w:name="point60"/>
      <w:r>
        <w:lastRenderedPageBreak/>
        <w:t>60</w:t>
      </w:r>
      <w:bookmarkEnd w:id="53"/>
      <w:r>
        <w:t>      </w:t>
      </w:r>
      <w:r w:rsidR="00361F21">
        <w:t>Međutim, k</w:t>
      </w:r>
      <w:r w:rsidR="00204989">
        <w:t>od tumačenja članka 3. Direktive se u obzir mora uzeti i njezin članak 1. sta</w:t>
      </w:r>
      <w:r w:rsidR="00361F21">
        <w:t>vak 4., prema kojem Direktiva, vezano za mjerodavno pravo, ne</w:t>
      </w:r>
      <w:r w:rsidR="00204989">
        <w:t xml:space="preserve"> stvara dodatna pravila u području me</w:t>
      </w:r>
      <w:r w:rsidR="00361F21">
        <w:t>đunarodnog privatnog prava</w:t>
      </w:r>
      <w:r w:rsidR="00204989">
        <w:t xml:space="preserve">. </w:t>
      </w:r>
      <w:r>
        <w:t xml:space="preserve"> </w:t>
      </w:r>
    </w:p>
    <w:p w:rsidR="0082530B" w:rsidRDefault="0082530B" w:rsidP="0082530B">
      <w:pPr>
        <w:pStyle w:val="c01pointnumerotealtn"/>
      </w:pPr>
      <w:bookmarkStart w:id="54" w:name="point61"/>
      <w:r>
        <w:t>61</w:t>
      </w:r>
      <w:bookmarkEnd w:id="54"/>
      <w:r>
        <w:t>      </w:t>
      </w:r>
      <w:r w:rsidR="003A2B93">
        <w:t>S tim u vezi</w:t>
      </w:r>
      <w:r w:rsidR="007B484E">
        <w:t>, s jedne strane,</w:t>
      </w:r>
      <w:r w:rsidR="003A2B93">
        <w:t xml:space="preserve"> treba ukazati na to da tumačenje pravila o unutarnjem tržištu iz članka 3. stavka 1. Direktive</w:t>
      </w:r>
      <w:r w:rsidR="007B484E">
        <w:t>,</w:t>
      </w:r>
      <w:r w:rsidR="003A2B93">
        <w:t xml:space="preserve"> u </w:t>
      </w:r>
      <w:r w:rsidR="007B484E">
        <w:t>smislu da vodi ka primjeni</w:t>
      </w:r>
      <w:r w:rsidR="003A2B93">
        <w:t xml:space="preserve"> </w:t>
      </w:r>
      <w:r w:rsidR="00C27942">
        <w:t>materijalno</w:t>
      </w:r>
      <w:r w:rsidR="003A2B93">
        <w:t xml:space="preserve">g prava koje se primjenjuje u državi članici </w:t>
      </w:r>
      <w:r w:rsidR="007B484E">
        <w:t>u kojoj se nalazi sjedište</w:t>
      </w:r>
      <w:r w:rsidR="003A2B93">
        <w:t xml:space="preserve">, </w:t>
      </w:r>
      <w:r w:rsidR="007B484E">
        <w:t xml:space="preserve">ne znači da postoji dio međunarodnog privatnog prava. </w:t>
      </w:r>
      <w:r w:rsidR="002500B7">
        <w:t>Naime, t</w:t>
      </w:r>
      <w:r w:rsidR="003A2B93">
        <w:t xml:space="preserve">aj stavak </w:t>
      </w:r>
      <w:r w:rsidR="002500B7">
        <w:t>u prvom redu obvezuje države č</w:t>
      </w:r>
      <w:r w:rsidR="003A2B93">
        <w:t>l</w:t>
      </w:r>
      <w:r w:rsidR="002500B7">
        <w:t>a</w:t>
      </w:r>
      <w:r w:rsidR="003A2B93">
        <w:t xml:space="preserve">nice da se pobrinu </w:t>
      </w:r>
      <w:r w:rsidR="002500B7">
        <w:t>za to da u</w:t>
      </w:r>
      <w:r w:rsidR="003A2B93">
        <w:t>s</w:t>
      </w:r>
      <w:r w:rsidR="002500B7">
        <w:t>l</w:t>
      </w:r>
      <w:r w:rsidR="003A2B93">
        <w:t>uge informatičkog društva</w:t>
      </w:r>
      <w:r w:rsidR="002500B7">
        <w:t>,</w:t>
      </w:r>
      <w:r w:rsidR="003A2B93">
        <w:t xml:space="preserve"> koje pruža pružatelj usluga </w:t>
      </w:r>
      <w:r w:rsidR="002500B7">
        <w:t xml:space="preserve">s </w:t>
      </w:r>
      <w:r w:rsidR="003A2B93">
        <w:t>poslovni</w:t>
      </w:r>
      <w:r w:rsidR="002500B7">
        <w:t>m</w:t>
      </w:r>
      <w:r w:rsidR="003A2B93">
        <w:t xml:space="preserve"> nastan</w:t>
      </w:r>
      <w:r w:rsidR="002500B7">
        <w:t>om</w:t>
      </w:r>
      <w:r w:rsidR="003A2B93">
        <w:t xml:space="preserve"> u njihovom </w:t>
      </w:r>
      <w:r w:rsidR="00A56C67">
        <w:t>području</w:t>
      </w:r>
      <w:r w:rsidR="003A2B93">
        <w:t>, odgovaraju</w:t>
      </w:r>
      <w:r w:rsidR="002500B7">
        <w:t xml:space="preserve"> nacionalnim propisima koji su na snazi</w:t>
      </w:r>
      <w:r w:rsidR="003A2B93">
        <w:t xml:space="preserve"> u tim državama članicama</w:t>
      </w:r>
      <w:r w:rsidR="00F94D65">
        <w:t xml:space="preserve">, </w:t>
      </w:r>
      <w:r w:rsidR="003A2B93">
        <w:t xml:space="preserve">a koje spadaju u područje koordinacije. Nametanje takve obveze nema obilježja kolizijskog pravila koje je namijenjeno tomu da se riješi specifični sukob između više pravnih poredaka koji </w:t>
      </w:r>
      <w:r w:rsidR="002500B7">
        <w:t xml:space="preserve">se mogu primijeniti. </w:t>
      </w:r>
    </w:p>
    <w:p w:rsidR="0082530B" w:rsidRDefault="0082530B" w:rsidP="0082530B">
      <w:pPr>
        <w:pStyle w:val="c01pointnumerotealtn"/>
      </w:pPr>
      <w:bookmarkStart w:id="55" w:name="point62"/>
      <w:r>
        <w:t>62</w:t>
      </w:r>
      <w:bookmarkEnd w:id="55"/>
      <w:r>
        <w:t>      </w:t>
      </w:r>
      <w:r w:rsidR="005B20F3">
        <w:t xml:space="preserve">S druge strane, članak 3. stavak 2. Direktive zabranjuje državama članicama </w:t>
      </w:r>
      <w:r w:rsidR="008E5828">
        <w:t xml:space="preserve">da </w:t>
      </w:r>
      <w:r w:rsidR="005B20F3">
        <w:t>ogranič</w:t>
      </w:r>
      <w:r w:rsidR="008E5828">
        <w:t xml:space="preserve">e </w:t>
      </w:r>
      <w:r w:rsidR="005B20F3">
        <w:t xml:space="preserve">slobodan promet usluga informatičkog društva iz </w:t>
      </w:r>
      <w:r w:rsidR="008E5828">
        <w:t xml:space="preserve">druge države članice, iz </w:t>
      </w:r>
      <w:r w:rsidR="005B20F3">
        <w:t>razlo</w:t>
      </w:r>
      <w:r w:rsidR="008E5828">
        <w:t>ga koji spadaju u područje koor</w:t>
      </w:r>
      <w:r w:rsidR="005B20F3">
        <w:t>d</w:t>
      </w:r>
      <w:r w:rsidR="008E5828">
        <w:t>i</w:t>
      </w:r>
      <w:r w:rsidR="005B20F3">
        <w:t>nacije.</w:t>
      </w:r>
      <w:r w:rsidR="008E5828">
        <w:t xml:space="preserve"> N</w:t>
      </w:r>
      <w:r w:rsidR="005B20F3">
        <w:t>asuprot tomu, iz članka 1. stavka 4. u vezi s 23. uvodnom izjavom Direktive proizlazi da države članice</w:t>
      </w:r>
      <w:r w:rsidR="008E5828">
        <w:t xml:space="preserve"> koje primaju usluge, </w:t>
      </w:r>
      <w:r w:rsidR="005B20F3">
        <w:t xml:space="preserve">mjerodavno </w:t>
      </w:r>
      <w:r w:rsidR="00C27942">
        <w:t>materijalno</w:t>
      </w:r>
      <w:r w:rsidR="005B20F3">
        <w:t xml:space="preserve"> pravo </w:t>
      </w:r>
      <w:r w:rsidR="008E5828">
        <w:t xml:space="preserve">načelno mogu </w:t>
      </w:r>
      <w:r w:rsidR="005B20F3">
        <w:t xml:space="preserve">odrediti </w:t>
      </w:r>
      <w:r w:rsidR="008E5828">
        <w:t>temeljem</w:t>
      </w:r>
      <w:r w:rsidR="005B20F3">
        <w:t xml:space="preserve"> svog međunarodnog privatnog prava, ukoliko iz toga ne proizlazi ograničenje slobode z</w:t>
      </w:r>
      <w:r w:rsidR="008E5828">
        <w:t xml:space="preserve">a pružanje usluga elektroničke trgovine. </w:t>
      </w:r>
    </w:p>
    <w:p w:rsidR="0082530B" w:rsidRDefault="0082530B" w:rsidP="0082530B">
      <w:pPr>
        <w:pStyle w:val="c01pointnumerotealtn"/>
      </w:pPr>
      <w:bookmarkStart w:id="56" w:name="point63"/>
      <w:r>
        <w:t>63</w:t>
      </w:r>
      <w:bookmarkEnd w:id="56"/>
      <w:r>
        <w:t>      </w:t>
      </w:r>
      <w:r w:rsidR="005B20F3">
        <w:t xml:space="preserve">Prema tomu, članak 3. stavak 2. Direktive ne zahtijeva implementaciju u vidu posebnog kolizijskog pravila. </w:t>
      </w:r>
      <w:r>
        <w:t xml:space="preserve"> </w:t>
      </w:r>
    </w:p>
    <w:p w:rsidR="0082530B" w:rsidRDefault="0082530B" w:rsidP="0082530B">
      <w:pPr>
        <w:pStyle w:val="c01pointnumerotealtn"/>
      </w:pPr>
      <w:bookmarkStart w:id="57" w:name="point64"/>
      <w:r>
        <w:t>64</w:t>
      </w:r>
      <w:bookmarkEnd w:id="57"/>
      <w:r>
        <w:t>      </w:t>
      </w:r>
      <w:r w:rsidR="002F583F">
        <w:t xml:space="preserve">S tim da se odredbe iz članka 3. stavka 1. i 2. Direktive moraju tumačiti tako da koordinacijski pristup europskog zakonodavca stvarno može osigurati slobodni promet usluga informatičkog društva između država članica. </w:t>
      </w:r>
      <w:r>
        <w:t xml:space="preserve"> </w:t>
      </w:r>
    </w:p>
    <w:p w:rsidR="0082530B" w:rsidRDefault="0082530B" w:rsidP="0082530B">
      <w:pPr>
        <w:pStyle w:val="c01pointnumerotealtn"/>
      </w:pPr>
      <w:bookmarkStart w:id="58" w:name="point65"/>
      <w:r>
        <w:t>65</w:t>
      </w:r>
      <w:bookmarkEnd w:id="58"/>
      <w:r>
        <w:t>      </w:t>
      </w:r>
      <w:r w:rsidR="00D4064D">
        <w:t>Sud j</w:t>
      </w:r>
      <w:r w:rsidR="008E5828">
        <w:t>e s tim u vezi već odlučio da</w:t>
      </w:r>
      <w:r w:rsidR="00D4064D">
        <w:t xml:space="preserve"> </w:t>
      </w:r>
      <w:r w:rsidR="008E5828">
        <w:t xml:space="preserve">treba osigurati primjenu </w:t>
      </w:r>
      <w:r w:rsidR="00BA3197">
        <w:t>prisilnih</w:t>
      </w:r>
      <w:r w:rsidR="00D4064D">
        <w:t xml:space="preserve"> odred</w:t>
      </w:r>
      <w:r w:rsidR="008E5828">
        <w:t>a</w:t>
      </w:r>
      <w:r w:rsidR="00D4064D">
        <w:t>ba</w:t>
      </w:r>
      <w:r w:rsidR="008E5828">
        <w:t xml:space="preserve"> </w:t>
      </w:r>
      <w:r w:rsidR="00D4064D">
        <w:t>Direktive</w:t>
      </w:r>
      <w:r w:rsidR="008E5828">
        <w:t>,</w:t>
      </w:r>
      <w:r w:rsidR="00D4064D">
        <w:t xml:space="preserve"> koje su potrebne za ostvaren</w:t>
      </w:r>
      <w:r w:rsidR="008E5828">
        <w:t>je ciljeva unutarnjeg</w:t>
      </w:r>
      <w:r w:rsidR="00D4064D">
        <w:t xml:space="preserve"> tržišta, neovisno o drukčije</w:t>
      </w:r>
      <w:r w:rsidR="008E5828">
        <w:t>m</w:t>
      </w:r>
      <w:r w:rsidR="00D4064D">
        <w:t xml:space="preserve"> izboru prava </w:t>
      </w:r>
      <w:r>
        <w:t>(v</w:t>
      </w:r>
      <w:r w:rsidR="008E5828">
        <w:t>idi u tom smislu presudu</w:t>
      </w:r>
      <w:r w:rsidR="00D4064D">
        <w:t xml:space="preserve"> od </w:t>
      </w:r>
      <w:r>
        <w:t xml:space="preserve">9. </w:t>
      </w:r>
      <w:r w:rsidR="00D4064D">
        <w:t xml:space="preserve">studenog </w:t>
      </w:r>
      <w:r>
        <w:t>2000</w:t>
      </w:r>
      <w:r w:rsidR="00D4064D">
        <w:t>.</w:t>
      </w:r>
      <w:r>
        <w:t xml:space="preserve">, </w:t>
      </w:r>
      <w:r w:rsidRPr="00BA3197">
        <w:rPr>
          <w:i/>
        </w:rPr>
        <w:t>Ingmar,</w:t>
      </w:r>
      <w:r>
        <w:t xml:space="preserve"> C</w:t>
      </w:r>
      <w:r>
        <w:noBreakHyphen/>
        <w:t xml:space="preserve">381/98, </w:t>
      </w:r>
      <w:r w:rsidR="00D4064D">
        <w:rPr>
          <w:rFonts w:ascii="Arial" w:hAnsi="Arial" w:cs="Arial"/>
        </w:rPr>
        <w:t>[</w:t>
      </w:r>
      <w:r>
        <w:t>2000</w:t>
      </w:r>
      <w:r w:rsidR="00D4064D">
        <w:rPr>
          <w:rFonts w:ascii="Arial" w:hAnsi="Arial" w:cs="Arial"/>
        </w:rPr>
        <w:t>]</w:t>
      </w:r>
      <w:r>
        <w:t>, I</w:t>
      </w:r>
      <w:r>
        <w:noBreakHyphen/>
        <w:t xml:space="preserve">9305, </w:t>
      </w:r>
      <w:r w:rsidR="00D4064D">
        <w:t xml:space="preserve">točka </w:t>
      </w:r>
      <w:r>
        <w:t>25</w:t>
      </w:r>
      <w:r w:rsidR="008E5828">
        <w:t>.</w:t>
      </w:r>
      <w:r>
        <w:t xml:space="preserve">, </w:t>
      </w:r>
      <w:r w:rsidR="008E5828">
        <w:t>i presudu</w:t>
      </w:r>
      <w:r w:rsidR="00D4064D">
        <w:t xml:space="preserve"> od </w:t>
      </w:r>
      <w:r>
        <w:t xml:space="preserve">23. </w:t>
      </w:r>
      <w:r w:rsidR="00D4064D">
        <w:t xml:space="preserve">ožujka </w:t>
      </w:r>
      <w:r>
        <w:t>2006</w:t>
      </w:r>
      <w:r w:rsidR="00D4064D">
        <w:t>.</w:t>
      </w:r>
      <w:r>
        <w:t xml:space="preserve">, </w:t>
      </w:r>
      <w:r w:rsidRPr="00BA3197">
        <w:rPr>
          <w:i/>
        </w:rPr>
        <w:t>Honyvem Informazioni Commerciali,</w:t>
      </w:r>
      <w:r>
        <w:t xml:space="preserve"> C</w:t>
      </w:r>
      <w:r>
        <w:noBreakHyphen/>
        <w:t xml:space="preserve">465/04, </w:t>
      </w:r>
      <w:r w:rsidR="00D4064D">
        <w:rPr>
          <w:rFonts w:ascii="Arial" w:hAnsi="Arial" w:cs="Arial"/>
        </w:rPr>
        <w:t>[</w:t>
      </w:r>
      <w:r>
        <w:t xml:space="preserve"> 2006</w:t>
      </w:r>
      <w:r w:rsidR="00D4064D">
        <w:rPr>
          <w:rFonts w:ascii="Arial" w:hAnsi="Arial" w:cs="Arial"/>
        </w:rPr>
        <w:t>]</w:t>
      </w:r>
      <w:r w:rsidR="00D4064D">
        <w:t xml:space="preserve"> ECR</w:t>
      </w:r>
      <w:r>
        <w:t>, I</w:t>
      </w:r>
      <w:r>
        <w:noBreakHyphen/>
        <w:t xml:space="preserve">2879, </w:t>
      </w:r>
      <w:r w:rsidR="00D4064D">
        <w:t xml:space="preserve">točka </w:t>
      </w:r>
      <w:r>
        <w:t>23</w:t>
      </w:r>
      <w:r w:rsidR="00D4064D">
        <w:t>.</w:t>
      </w:r>
      <w:r>
        <w:t xml:space="preserve">). </w:t>
      </w:r>
    </w:p>
    <w:p w:rsidR="0082530B" w:rsidRDefault="0082530B" w:rsidP="0082530B">
      <w:pPr>
        <w:pStyle w:val="c01pointnumerotealtn"/>
      </w:pPr>
      <w:bookmarkStart w:id="59" w:name="point66"/>
      <w:r>
        <w:t>66</w:t>
      </w:r>
      <w:bookmarkEnd w:id="59"/>
      <w:r>
        <w:t>      </w:t>
      </w:r>
      <w:r w:rsidR="00770EB9">
        <w:t>U vezi s odredbom iz članka 3. Direktive</w:t>
      </w:r>
      <w:r w:rsidR="00F94D65">
        <w:t>,</w:t>
      </w:r>
      <w:r w:rsidR="00770EB9">
        <w:t xml:space="preserve"> treba utvrditi da primjena pravnog poretka države članice</w:t>
      </w:r>
      <w:r w:rsidR="00BA3197">
        <w:t xml:space="preserve"> </w:t>
      </w:r>
      <w:r w:rsidR="00770EB9">
        <w:t>sjediš</w:t>
      </w:r>
      <w:r w:rsidR="00606354">
        <w:t>ta ponuđača usluga elektroničke trgovine na usluge elektroničke trgovine</w:t>
      </w:r>
      <w:r w:rsidR="00770EB9">
        <w:t xml:space="preserve"> sukladno članku 3. stavku 1. ne bi omogućila osigura</w:t>
      </w:r>
      <w:r w:rsidR="00606354">
        <w:t>nje</w:t>
      </w:r>
      <w:r w:rsidR="00770EB9">
        <w:t xml:space="preserve"> sloboda tih usluga, ako bi ponuđači usluga u državi članici prima</w:t>
      </w:r>
      <w:r w:rsidR="00BE1C97">
        <w:t>telja usluga u konačnici morali ispunjavati</w:t>
      </w:r>
      <w:r w:rsidR="00606354">
        <w:t xml:space="preserve"> </w:t>
      </w:r>
      <w:r w:rsidR="00BE1C97">
        <w:t xml:space="preserve">strože zahtjeve </w:t>
      </w:r>
      <w:r w:rsidR="00770EB9">
        <w:t>nego u državi članic</w:t>
      </w:r>
      <w:r w:rsidR="00606354">
        <w:t xml:space="preserve">i u kojoj imaju svoje sjedište. </w:t>
      </w:r>
      <w:r w:rsidR="00770EB9">
        <w:t xml:space="preserve"> </w:t>
      </w:r>
      <w:r>
        <w:t xml:space="preserve"> </w:t>
      </w:r>
    </w:p>
    <w:p w:rsidR="0082530B" w:rsidRDefault="0082530B" w:rsidP="0082530B">
      <w:pPr>
        <w:pStyle w:val="c01pointnumerotealtn"/>
      </w:pPr>
      <w:bookmarkStart w:id="60" w:name="point67"/>
      <w:r>
        <w:t>67</w:t>
      </w:r>
      <w:bookmarkEnd w:id="60"/>
      <w:r>
        <w:t>      </w:t>
      </w:r>
      <w:r w:rsidR="003D07FE">
        <w:t>Stoga član</w:t>
      </w:r>
      <w:r w:rsidR="00EF16EB">
        <w:t>ak 3. Direktive, podložno iznimkama koje su dopuštene ako su ispunjeni uvjeti</w:t>
      </w:r>
      <w:r w:rsidR="003D07FE">
        <w:t xml:space="preserve"> iz članka 3. stavka 4.</w:t>
      </w:r>
      <w:r w:rsidR="00EF16EB">
        <w:t xml:space="preserve">, </w:t>
      </w:r>
      <w:r w:rsidR="003D07FE">
        <w:t xml:space="preserve">ne dopušta da </w:t>
      </w:r>
      <w:r w:rsidR="00EF16EB">
        <w:t xml:space="preserve">se na </w:t>
      </w:r>
      <w:r w:rsidR="003D07FE">
        <w:t>ponuđač</w:t>
      </w:r>
      <w:r w:rsidR="00EF16EB">
        <w:t>a</w:t>
      </w:r>
      <w:r w:rsidR="003D07FE">
        <w:t xml:space="preserve"> usluge elektroničk</w:t>
      </w:r>
      <w:r w:rsidR="00EF16EB">
        <w:t>e trgovine primjenjuju stroži zahtjevi</w:t>
      </w:r>
      <w:r w:rsidR="003D07FE">
        <w:t xml:space="preserve"> nego </w:t>
      </w:r>
      <w:r w:rsidR="00EF16EB">
        <w:t xml:space="preserve">što </w:t>
      </w:r>
      <w:r w:rsidR="003D07FE">
        <w:t xml:space="preserve">to predviđa </w:t>
      </w:r>
      <w:r w:rsidR="00C27942">
        <w:t>materijalno</w:t>
      </w:r>
      <w:r w:rsidR="003D07FE">
        <w:t xml:space="preserve"> pravo koje vrijedi u državi </w:t>
      </w:r>
      <w:r w:rsidR="00EF16EB">
        <w:t>članici , u kojoj je sjedište</w:t>
      </w:r>
      <w:r w:rsidR="003D07FE">
        <w:t xml:space="preserve"> tog ponuđača. </w:t>
      </w:r>
      <w:r>
        <w:t xml:space="preserve"> </w:t>
      </w:r>
    </w:p>
    <w:p w:rsidR="00FB78FB" w:rsidRDefault="0082530B" w:rsidP="00BA3197">
      <w:pPr>
        <w:pStyle w:val="c01pointnumerotealtn"/>
      </w:pPr>
      <w:bookmarkStart w:id="61" w:name="point68"/>
      <w:r>
        <w:t>68</w:t>
      </w:r>
      <w:bookmarkEnd w:id="61"/>
      <w:r>
        <w:t>      </w:t>
      </w:r>
      <w:r w:rsidR="003D07FE">
        <w:t>Prema</w:t>
      </w:r>
      <w:r w:rsidR="008B4B85">
        <w:t xml:space="preserve"> tome</w:t>
      </w:r>
      <w:r w:rsidR="00125467">
        <w:t>,</w:t>
      </w:r>
      <w:r w:rsidR="003D07FE">
        <w:t xml:space="preserve"> na treće pitanje </w:t>
      </w:r>
      <w:r w:rsidR="00125467">
        <w:t>u predmetu</w:t>
      </w:r>
      <w:r w:rsidR="003D07FE">
        <w:t xml:space="preserve"> </w:t>
      </w:r>
      <w:r>
        <w:t>C</w:t>
      </w:r>
      <w:r>
        <w:noBreakHyphen/>
        <w:t xml:space="preserve">509/09 </w:t>
      </w:r>
      <w:r w:rsidR="003D07FE">
        <w:t>treba odgovoriti da se članak 3. Dir</w:t>
      </w:r>
      <w:r w:rsidR="00125467">
        <w:t>ektive treba tumačiti tako da ne</w:t>
      </w:r>
      <w:r w:rsidR="003D07FE">
        <w:t xml:space="preserve"> zahtijeva implementaciju u vidu</w:t>
      </w:r>
      <w:r w:rsidR="00125467">
        <w:t xml:space="preserve"> posebnog kolizijskog pravila. N</w:t>
      </w:r>
      <w:r w:rsidR="003D07FE">
        <w:t>o, države članice, podložno iznim</w:t>
      </w:r>
      <w:r w:rsidR="00125467">
        <w:t xml:space="preserve">kama </w:t>
      </w:r>
      <w:r w:rsidR="003D07FE">
        <w:t>koje su dopuštene ako su ispunjeni uvjeti iz člank</w:t>
      </w:r>
      <w:r w:rsidR="008B4B85">
        <w:t>a</w:t>
      </w:r>
      <w:r w:rsidR="003D07FE">
        <w:t xml:space="preserve"> 3. stavka 4. Direktive, u području koordinacije </w:t>
      </w:r>
      <w:r w:rsidR="00125467">
        <w:t xml:space="preserve">moraju osigurati </w:t>
      </w:r>
      <w:r w:rsidR="003D07FE">
        <w:t xml:space="preserve">da ponuđač usluge </w:t>
      </w:r>
      <w:r w:rsidR="003D07FE">
        <w:lastRenderedPageBreak/>
        <w:t>elektroničk</w:t>
      </w:r>
      <w:r w:rsidR="00125467">
        <w:t xml:space="preserve">e trgovine </w:t>
      </w:r>
      <w:r w:rsidR="003D07FE">
        <w:t xml:space="preserve">ne podliježe strožim zahtjevima </w:t>
      </w:r>
      <w:r w:rsidR="00125467">
        <w:t xml:space="preserve">od onih </w:t>
      </w:r>
      <w:r w:rsidR="003D07FE">
        <w:t xml:space="preserve">što ih predviđa </w:t>
      </w:r>
      <w:r w:rsidR="00C27942">
        <w:t>materijalno</w:t>
      </w:r>
      <w:r w:rsidR="00C27942">
        <w:t xml:space="preserve"> </w:t>
      </w:r>
      <w:r w:rsidR="003D07FE">
        <w:t>pravo</w:t>
      </w:r>
      <w:r w:rsidR="00BE1C97">
        <w:t>,</w:t>
      </w:r>
      <w:r w:rsidR="003D07FE">
        <w:t xml:space="preserve"> koje vrijedi u drža</w:t>
      </w:r>
      <w:r w:rsidR="00125467">
        <w:t xml:space="preserve">vi članici u kojoj </w:t>
      </w:r>
      <w:r w:rsidR="008B4B85">
        <w:t>taj ponuđač ima svoje sjedište.</w:t>
      </w:r>
      <w:bookmarkStart w:id="62" w:name="_GoBack"/>
      <w:bookmarkEnd w:id="62"/>
    </w:p>
    <w:sectPr w:rsidR="00FB78FB" w:rsidSect="00EA25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08"/>
  <w:hyphenationZone w:val="425"/>
  <w:characterSpacingControl w:val="doNotCompress"/>
  <w:compat>
    <w:useFELayout/>
  </w:compat>
  <w:rsids>
    <w:rsidRoot w:val="0082530B"/>
    <w:rsid w:val="000035C6"/>
    <w:rsid w:val="00013579"/>
    <w:rsid w:val="00022EFA"/>
    <w:rsid w:val="00045D47"/>
    <w:rsid w:val="00061A8C"/>
    <w:rsid w:val="000621FB"/>
    <w:rsid w:val="000D4C47"/>
    <w:rsid w:val="00103291"/>
    <w:rsid w:val="0011296A"/>
    <w:rsid w:val="0012060A"/>
    <w:rsid w:val="00125467"/>
    <w:rsid w:val="00134A6C"/>
    <w:rsid w:val="0014537A"/>
    <w:rsid w:val="0014766A"/>
    <w:rsid w:val="00164AED"/>
    <w:rsid w:val="001A5834"/>
    <w:rsid w:val="001B1E87"/>
    <w:rsid w:val="001C3194"/>
    <w:rsid w:val="001C3340"/>
    <w:rsid w:val="00204989"/>
    <w:rsid w:val="00213CD1"/>
    <w:rsid w:val="00240662"/>
    <w:rsid w:val="002500B7"/>
    <w:rsid w:val="00285DD0"/>
    <w:rsid w:val="002A6F2B"/>
    <w:rsid w:val="002F583F"/>
    <w:rsid w:val="00306DCF"/>
    <w:rsid w:val="00307420"/>
    <w:rsid w:val="00321E32"/>
    <w:rsid w:val="003318C1"/>
    <w:rsid w:val="00357158"/>
    <w:rsid w:val="00361F21"/>
    <w:rsid w:val="00377A7D"/>
    <w:rsid w:val="003A2B93"/>
    <w:rsid w:val="003C4020"/>
    <w:rsid w:val="003D07FE"/>
    <w:rsid w:val="003D2EB9"/>
    <w:rsid w:val="003D7AA0"/>
    <w:rsid w:val="003E375C"/>
    <w:rsid w:val="00407AEB"/>
    <w:rsid w:val="00433E08"/>
    <w:rsid w:val="00434A9B"/>
    <w:rsid w:val="004352A6"/>
    <w:rsid w:val="0045677F"/>
    <w:rsid w:val="004846E3"/>
    <w:rsid w:val="00486BBF"/>
    <w:rsid w:val="004B482B"/>
    <w:rsid w:val="004C6C00"/>
    <w:rsid w:val="004E69EA"/>
    <w:rsid w:val="00502808"/>
    <w:rsid w:val="00511541"/>
    <w:rsid w:val="00581642"/>
    <w:rsid w:val="0058576E"/>
    <w:rsid w:val="00595152"/>
    <w:rsid w:val="005B20F3"/>
    <w:rsid w:val="005D17AF"/>
    <w:rsid w:val="005D4078"/>
    <w:rsid w:val="005D414B"/>
    <w:rsid w:val="00606354"/>
    <w:rsid w:val="0060767F"/>
    <w:rsid w:val="006077BC"/>
    <w:rsid w:val="00640E1E"/>
    <w:rsid w:val="00645BD4"/>
    <w:rsid w:val="0065469B"/>
    <w:rsid w:val="00656DF4"/>
    <w:rsid w:val="00663E3B"/>
    <w:rsid w:val="006645EA"/>
    <w:rsid w:val="0069332E"/>
    <w:rsid w:val="006A2D97"/>
    <w:rsid w:val="006B54C2"/>
    <w:rsid w:val="006D0B7C"/>
    <w:rsid w:val="007005DC"/>
    <w:rsid w:val="0070225C"/>
    <w:rsid w:val="007168E8"/>
    <w:rsid w:val="00721C2A"/>
    <w:rsid w:val="00726D81"/>
    <w:rsid w:val="0072740F"/>
    <w:rsid w:val="007422AD"/>
    <w:rsid w:val="00770EB9"/>
    <w:rsid w:val="007942BF"/>
    <w:rsid w:val="007A4D62"/>
    <w:rsid w:val="007B2813"/>
    <w:rsid w:val="007B484E"/>
    <w:rsid w:val="007B695E"/>
    <w:rsid w:val="007F3EEB"/>
    <w:rsid w:val="00801AFE"/>
    <w:rsid w:val="00814586"/>
    <w:rsid w:val="0082530B"/>
    <w:rsid w:val="00836503"/>
    <w:rsid w:val="008372D5"/>
    <w:rsid w:val="008649C0"/>
    <w:rsid w:val="008658CF"/>
    <w:rsid w:val="00874808"/>
    <w:rsid w:val="00892DC8"/>
    <w:rsid w:val="008942AC"/>
    <w:rsid w:val="00895A29"/>
    <w:rsid w:val="008A73C9"/>
    <w:rsid w:val="008B4B85"/>
    <w:rsid w:val="008C4BF7"/>
    <w:rsid w:val="008D0D80"/>
    <w:rsid w:val="008D596F"/>
    <w:rsid w:val="008E5828"/>
    <w:rsid w:val="008F4D2B"/>
    <w:rsid w:val="008F6B2C"/>
    <w:rsid w:val="00901394"/>
    <w:rsid w:val="00920CE6"/>
    <w:rsid w:val="009343BC"/>
    <w:rsid w:val="00964E1F"/>
    <w:rsid w:val="00992788"/>
    <w:rsid w:val="009B079F"/>
    <w:rsid w:val="009B3DDC"/>
    <w:rsid w:val="009B55CD"/>
    <w:rsid w:val="009C024E"/>
    <w:rsid w:val="009C1BC5"/>
    <w:rsid w:val="009D0AE0"/>
    <w:rsid w:val="009D6138"/>
    <w:rsid w:val="009E0413"/>
    <w:rsid w:val="009E2DC0"/>
    <w:rsid w:val="009F5CFD"/>
    <w:rsid w:val="00A03B19"/>
    <w:rsid w:val="00A1003A"/>
    <w:rsid w:val="00A10EF5"/>
    <w:rsid w:val="00A25E73"/>
    <w:rsid w:val="00A44E7C"/>
    <w:rsid w:val="00A56C67"/>
    <w:rsid w:val="00A64220"/>
    <w:rsid w:val="00A667E8"/>
    <w:rsid w:val="00A66859"/>
    <w:rsid w:val="00A77E51"/>
    <w:rsid w:val="00A82D7E"/>
    <w:rsid w:val="00A951B2"/>
    <w:rsid w:val="00A9658F"/>
    <w:rsid w:val="00AA2DFE"/>
    <w:rsid w:val="00AA33FD"/>
    <w:rsid w:val="00AA5DC9"/>
    <w:rsid w:val="00AB381A"/>
    <w:rsid w:val="00AB6523"/>
    <w:rsid w:val="00AC5E9C"/>
    <w:rsid w:val="00AC7E42"/>
    <w:rsid w:val="00AE4BC2"/>
    <w:rsid w:val="00AE705C"/>
    <w:rsid w:val="00AF130C"/>
    <w:rsid w:val="00B208C8"/>
    <w:rsid w:val="00B42FF8"/>
    <w:rsid w:val="00B65BFE"/>
    <w:rsid w:val="00B702C9"/>
    <w:rsid w:val="00B70D9C"/>
    <w:rsid w:val="00B77E6E"/>
    <w:rsid w:val="00B86FB9"/>
    <w:rsid w:val="00B918C9"/>
    <w:rsid w:val="00B92059"/>
    <w:rsid w:val="00B96AE1"/>
    <w:rsid w:val="00BA16A7"/>
    <w:rsid w:val="00BA3197"/>
    <w:rsid w:val="00BA5895"/>
    <w:rsid w:val="00BC1DD3"/>
    <w:rsid w:val="00BC2A9F"/>
    <w:rsid w:val="00BD2ABD"/>
    <w:rsid w:val="00BE1C97"/>
    <w:rsid w:val="00BE1D6C"/>
    <w:rsid w:val="00BF13ED"/>
    <w:rsid w:val="00BF2DF9"/>
    <w:rsid w:val="00C138D3"/>
    <w:rsid w:val="00C27942"/>
    <w:rsid w:val="00C741BF"/>
    <w:rsid w:val="00CA418D"/>
    <w:rsid w:val="00CC1CAC"/>
    <w:rsid w:val="00CD36C4"/>
    <w:rsid w:val="00CF227C"/>
    <w:rsid w:val="00CF6435"/>
    <w:rsid w:val="00D055BB"/>
    <w:rsid w:val="00D2139B"/>
    <w:rsid w:val="00D25899"/>
    <w:rsid w:val="00D258D9"/>
    <w:rsid w:val="00D32053"/>
    <w:rsid w:val="00D3428E"/>
    <w:rsid w:val="00D4064D"/>
    <w:rsid w:val="00D42660"/>
    <w:rsid w:val="00D432E4"/>
    <w:rsid w:val="00D6005A"/>
    <w:rsid w:val="00D86A7A"/>
    <w:rsid w:val="00DA08DD"/>
    <w:rsid w:val="00DA57BE"/>
    <w:rsid w:val="00DD2BB7"/>
    <w:rsid w:val="00DE17E7"/>
    <w:rsid w:val="00DF77C8"/>
    <w:rsid w:val="00E3738E"/>
    <w:rsid w:val="00E56882"/>
    <w:rsid w:val="00E649B1"/>
    <w:rsid w:val="00E666AD"/>
    <w:rsid w:val="00E752EC"/>
    <w:rsid w:val="00EA2520"/>
    <w:rsid w:val="00EB3DE9"/>
    <w:rsid w:val="00EB5EF9"/>
    <w:rsid w:val="00EC439F"/>
    <w:rsid w:val="00EF16EB"/>
    <w:rsid w:val="00EF4481"/>
    <w:rsid w:val="00F0298C"/>
    <w:rsid w:val="00F07C7A"/>
    <w:rsid w:val="00F31835"/>
    <w:rsid w:val="00F91952"/>
    <w:rsid w:val="00F94D65"/>
    <w:rsid w:val="00FA3908"/>
    <w:rsid w:val="00FB78FB"/>
    <w:rsid w:val="00FD6A22"/>
    <w:rsid w:val="00FE3053"/>
    <w:rsid w:val="00FE7F3F"/>
    <w:rsid w:val="00FF6AD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C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centre">
    <w:name w:val="c19centre"/>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30B"/>
    <w:rPr>
      <w:color w:val="0000FF"/>
      <w:u w:val="single"/>
    </w:rPr>
  </w:style>
  <w:style w:type="paragraph" w:customStyle="1" w:styleId="c71indicateur">
    <w:name w:val="c71indicateur"/>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2alineaalta">
    <w:name w:val="c02alineaalta"/>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3tiretlong">
    <w:name w:val="c03tiretlong"/>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debutdesmotifs">
    <w:name w:val="c75debutdesmotifs"/>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4titre1">
    <w:name w:val="c04titre1"/>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5titre2">
    <w:name w:val="c05titre2"/>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9marge0avecretrait">
    <w:name w:val="c09marge0avecretrait"/>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marge1">
    <w:name w:val="c10marge1"/>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marge1avectiretlong">
    <w:name w:val="c12marge1avectiretlong"/>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dispositifintroduction">
    <w:name w:val="c41dispositifintroduction"/>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8dispositif">
    <w:name w:val="c08dispositif"/>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1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centre">
    <w:name w:val="c19centre"/>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30B"/>
    <w:rPr>
      <w:color w:val="0000FF"/>
      <w:u w:val="single"/>
    </w:rPr>
  </w:style>
  <w:style w:type="paragraph" w:customStyle="1" w:styleId="c71indicateur">
    <w:name w:val="c71indicateur"/>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2alineaalta">
    <w:name w:val="c02alineaalta"/>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3tiretlong">
    <w:name w:val="c03tiretlong"/>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debutdesmotifs">
    <w:name w:val="c75debutdesmotifs"/>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4titre1">
    <w:name w:val="c04titre1"/>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5titre2">
    <w:name w:val="c05titre2"/>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9marge0avecretrait">
    <w:name w:val="c09marge0avecretrait"/>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marge1">
    <w:name w:val="c10marge1"/>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marge1avectiretlong">
    <w:name w:val="c12marge1avectiretlong"/>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dispositifintroduction">
    <w:name w:val="c41dispositifintroduction"/>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8dispositif">
    <w:name w:val="c08dispositif"/>
    <w:basedOn w:val="Normal"/>
    <w:rsid w:val="008253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8374190">
      <w:bodyDiv w:val="1"/>
      <w:marLeft w:val="0"/>
      <w:marRight w:val="0"/>
      <w:marTop w:val="0"/>
      <w:marBottom w:val="0"/>
      <w:divBdr>
        <w:top w:val="none" w:sz="0" w:space="0" w:color="auto"/>
        <w:left w:val="none" w:sz="0" w:space="0" w:color="auto"/>
        <w:bottom w:val="none" w:sz="0" w:space="0" w:color="auto"/>
        <w:right w:val="none" w:sz="0" w:space="0" w:color="auto"/>
      </w:divBdr>
    </w:div>
    <w:div w:id="14658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4815</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Pravni fakultet u Zagrebu</Company>
  <LinksUpToDate>false</LinksUpToDate>
  <CharactersWithSpaces>32203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davor</cp:lastModifiedBy>
  <cp:revision>6</cp:revision>
  <dcterms:created xsi:type="dcterms:W3CDTF">2013-12-14T13:07:00Z</dcterms:created>
  <dcterms:modified xsi:type="dcterms:W3CDTF">2014-01-20T10:51:00Z</dcterms:modified>
</cp:coreProperties>
</file>