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00A1F" w14:textId="77777777" w:rsidR="00755FF0" w:rsidRPr="00755FF0" w:rsidRDefault="00755FF0" w:rsidP="00755FF0">
      <w:pPr>
        <w:pStyle w:val="Subtitle"/>
        <w:rPr>
          <w:rFonts w:ascii="Arial" w:hAnsi="Arial" w:cs="Arial"/>
          <w:b/>
          <w:sz w:val="24"/>
          <w:szCs w:val="24"/>
          <w:lang w:val="hr-HR"/>
        </w:rPr>
      </w:pPr>
      <w:r w:rsidRPr="00755FF0">
        <w:rPr>
          <w:rFonts w:ascii="Arial" w:hAnsi="Arial" w:cs="Arial"/>
          <w:b/>
          <w:sz w:val="24"/>
          <w:szCs w:val="24"/>
          <w:lang w:val="hr-HR"/>
        </w:rPr>
        <w:t>Ivo Josipović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  <w:r>
        <w:rPr>
          <w:rStyle w:val="FootnoteReference"/>
          <w:rFonts w:ascii="Arial" w:hAnsi="Arial" w:cs="Arial"/>
          <w:b/>
          <w:sz w:val="24"/>
          <w:szCs w:val="24"/>
          <w:lang w:val="hr-HR"/>
        </w:rPr>
        <w:footnoteReference w:id="1"/>
      </w:r>
    </w:p>
    <w:p w14:paraId="49510C32" w14:textId="77777777" w:rsidR="00755FF0" w:rsidRDefault="00755FF0" w:rsidP="00755FF0">
      <w:pPr>
        <w:pStyle w:val="Subtitle"/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454DB833" w14:textId="77777777" w:rsidR="00755FF0" w:rsidRPr="00755FF0" w:rsidRDefault="00755FF0" w:rsidP="00755FF0">
      <w:pPr>
        <w:pStyle w:val="Subtitle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755FF0">
        <w:rPr>
          <w:rFonts w:ascii="Arial" w:hAnsi="Arial" w:cs="Arial"/>
          <w:b/>
          <w:sz w:val="28"/>
          <w:szCs w:val="28"/>
          <w:lang w:val="hr-HR"/>
        </w:rPr>
        <w:t>EUROPSKI JAVNI TUŽITELJ:</w:t>
      </w:r>
    </w:p>
    <w:p w14:paraId="51A054CB" w14:textId="77777777" w:rsidR="00153A07" w:rsidRDefault="00755FF0" w:rsidP="00755FF0">
      <w:pPr>
        <w:pStyle w:val="Subtitle"/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755FF0">
        <w:rPr>
          <w:rFonts w:ascii="Arial" w:hAnsi="Arial" w:cs="Arial"/>
          <w:b/>
          <w:sz w:val="28"/>
          <w:szCs w:val="28"/>
          <w:lang w:val="hr-HR"/>
        </w:rPr>
        <w:t>VELIK KORAK ZA EU, MALI KORAK ZA PRAVDU</w:t>
      </w:r>
    </w:p>
    <w:p w14:paraId="0EE1C88A" w14:textId="77777777" w:rsidR="00755FF0" w:rsidRPr="00755FF0" w:rsidRDefault="00755FF0" w:rsidP="00755FF0">
      <w:pPr>
        <w:rPr>
          <w:rFonts w:ascii="Arial" w:hAnsi="Arial" w:cs="Arial"/>
          <w:sz w:val="24"/>
          <w:szCs w:val="24"/>
          <w:lang w:val="hr-HR"/>
        </w:rPr>
      </w:pPr>
    </w:p>
    <w:p w14:paraId="06D712FA" w14:textId="77777777" w:rsidR="00755FF0" w:rsidRPr="00755FF0" w:rsidRDefault="00755FF0" w:rsidP="007F2363">
      <w:pPr>
        <w:jc w:val="center"/>
        <w:rPr>
          <w:rFonts w:ascii="Arial" w:hAnsi="Arial" w:cs="Arial"/>
          <w:sz w:val="24"/>
          <w:szCs w:val="24"/>
          <w:lang w:val="hr-HR"/>
        </w:rPr>
      </w:pPr>
    </w:p>
    <w:p w14:paraId="03FFC72F" w14:textId="77777777" w:rsidR="007F2363" w:rsidRDefault="00755FF0" w:rsidP="007F236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755FF0">
        <w:rPr>
          <w:rFonts w:ascii="Arial" w:hAnsi="Arial" w:cs="Arial"/>
          <w:b/>
          <w:sz w:val="24"/>
          <w:szCs w:val="24"/>
          <w:lang w:val="hr-HR"/>
        </w:rPr>
        <w:t>1. POLITIČKI KONTEKST UVOĐENJA INSTITUCIJE</w:t>
      </w:r>
    </w:p>
    <w:p w14:paraId="0688F8B2" w14:textId="77777777" w:rsidR="00755FF0" w:rsidRDefault="00755FF0" w:rsidP="007F236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755FF0">
        <w:rPr>
          <w:rFonts w:ascii="Arial" w:hAnsi="Arial" w:cs="Arial"/>
          <w:b/>
          <w:sz w:val="24"/>
          <w:szCs w:val="24"/>
          <w:lang w:val="hr-HR"/>
        </w:rPr>
        <w:t>EUROPSKOG JAVNOG TUŽITELJA</w:t>
      </w:r>
    </w:p>
    <w:p w14:paraId="4FB974FE" w14:textId="77777777" w:rsidR="00755FF0" w:rsidRDefault="00755FF0" w:rsidP="00697738">
      <w:pPr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18CA142F" w14:textId="77777777" w:rsidR="00755FF0" w:rsidRDefault="00755FF0" w:rsidP="00FC19A9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stručnoj politiološkoj literaturi, a i u političkoj praksi, vrlo se često ističe kako je Europska unija (dalje: EU) </w:t>
      </w:r>
      <w:r w:rsidR="00697738">
        <w:rPr>
          <w:rFonts w:ascii="Arial" w:hAnsi="Arial" w:cs="Arial"/>
          <w:sz w:val="24"/>
          <w:szCs w:val="24"/>
          <w:lang w:val="hr-HR"/>
        </w:rPr>
        <w:t>najuspješniji mirovni projekt u povijesti čovječanstva. Ta se činjenica često previđa i prednost se daje ekonomskim učincima EU. Pri tome, analiza uspješnosti EU polazi isključivo od ekonomskih pokazatelja prednosti koje su države ćlanice ostvarile udruživanjem u tu nadnacionalnu asocijaciju.</w:t>
      </w:r>
      <w:r w:rsidR="004F1692">
        <w:rPr>
          <w:rFonts w:ascii="Arial" w:hAnsi="Arial" w:cs="Arial"/>
          <w:sz w:val="24"/>
          <w:szCs w:val="24"/>
          <w:lang w:val="hr-HR"/>
        </w:rPr>
        <w:t xml:space="preserve"> Pri tome, predviđa se glavni motiv koji su očevi EU imali prilikom njenog stvaranja. Nakon Drugog svjetskog rata, najvećeg i najstrašnijeg u povijesti, iako tek jednog od brojnih ratova koji su začeti u Europi, željelo se integracijom europskih država koje su toliko puta ratovale i uništavale jednu drugom, stvoriti okružje tolerancija i mira. U početku, mirnotvoni se efekt želio ostvariti primarno ekonomskom suradnjom. </w:t>
      </w:r>
      <w:r w:rsidR="00697738">
        <w:rPr>
          <w:rFonts w:ascii="Arial" w:hAnsi="Arial" w:cs="Arial"/>
          <w:sz w:val="24"/>
          <w:szCs w:val="24"/>
          <w:lang w:val="hr-HR"/>
        </w:rPr>
        <w:t xml:space="preserve"> Međutim, postupna integracija europskih država, koja je krenula od manjeg broja država sličnog političkog i ekonomskog ustroja, i koja se, posebno nakon 2004. godine kada je EU pristupilo čak deset novih članica, dobila velik zamah, ne samo daljnjim širenjem EU na države koje su napustile socijalizam/komunizam kao temeljnu političku i ekonomsku doktrinu, već i jačanjem europskih institucija te širenjem njihove nadležnosti. Pravni okvir snaženja integrativnih procesa bio je tzv. Lisabonski ugovor koji je otvorio prostor procesu koji se popularno zove „više Europe“. </w:t>
      </w:r>
      <w:r w:rsidR="004F1692">
        <w:rPr>
          <w:rFonts w:ascii="Arial" w:hAnsi="Arial" w:cs="Arial"/>
          <w:sz w:val="24"/>
          <w:szCs w:val="24"/>
          <w:lang w:val="hr-HR"/>
        </w:rPr>
        <w:t xml:space="preserve">On znači jačanje europskih institucija, širenje njihove nadležnosti i, posljedično, novo odricanje atributa državne suverenosti zemalja – članica u korist EU. U vremenu značajne </w:t>
      </w:r>
      <w:r w:rsidR="004F1692">
        <w:rPr>
          <w:rFonts w:ascii="Arial" w:hAnsi="Arial" w:cs="Arial"/>
          <w:sz w:val="24"/>
          <w:szCs w:val="24"/>
          <w:lang w:val="hr-HR"/>
        </w:rPr>
        <w:lastRenderedPageBreak/>
        <w:t>ekonomske krize krajem prvog i početkom drugog desetljeća XXI. stoljeća, u vrijeme kada se zaoštrila gospodarska, ali i politička konfrontacija/konkurencija SAD, Rusije, Kine, ali i snažan ekonomski uzlet pojedinih država i njihovih različitih asocijacija (Brazil, Južna Koreja, Japan, Južnoafrička Republika, Indonezija, Indija…….), otvara se i pitanje sposobnosti europskih država da pojedinačno, ali i kao zajednica uspješno sudjeluju u globalnoj ekonomskoj utakmici, te da uspješno brane i svoje druge interese: sigurnosne, ekološke, političke.</w:t>
      </w:r>
    </w:p>
    <w:p w14:paraId="1B7515BC" w14:textId="77777777" w:rsidR="004F1692" w:rsidRDefault="004F1692" w:rsidP="00FC19A9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Jedini racionalni odgovor kako Europa može biti konkurentna i prosperitetna  jest onaj o „više Europe“: daljnje jačanje efikasnosti EU i njenih institucija i smanjivanje kompetencija država-članica na račun supranacionalnih institucija EU.</w:t>
      </w:r>
    </w:p>
    <w:p w14:paraId="75CF8BC9" w14:textId="77777777" w:rsidR="004F1692" w:rsidRDefault="004F1692" w:rsidP="00FC19A9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Međutim, nekako u isto vri</w:t>
      </w:r>
      <w:r w:rsidR="007F2363">
        <w:rPr>
          <w:rFonts w:ascii="Arial" w:hAnsi="Arial" w:cs="Arial"/>
          <w:sz w:val="24"/>
          <w:szCs w:val="24"/>
          <w:lang w:val="hr-HR"/>
        </w:rPr>
        <w:t>jeme, javlja se i potpuno opreč</w:t>
      </w:r>
      <w:r>
        <w:rPr>
          <w:rFonts w:ascii="Arial" w:hAnsi="Arial" w:cs="Arial"/>
          <w:sz w:val="24"/>
          <w:szCs w:val="24"/>
          <w:lang w:val="hr-HR"/>
        </w:rPr>
        <w:t>n</w:t>
      </w:r>
      <w:r w:rsidR="007F2363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 tendencija: jačanje euroskepticizma, želja da se nadležnosti EU reduciraju u odnosu na one država-članica</w:t>
      </w:r>
      <w:r w:rsidR="007F2363">
        <w:rPr>
          <w:rFonts w:ascii="Arial" w:hAnsi="Arial" w:cs="Arial"/>
          <w:sz w:val="24"/>
          <w:szCs w:val="24"/>
          <w:lang w:val="hr-HR"/>
        </w:rPr>
        <w:t xml:space="preserve">, optužbe kako je upravo EU sa svojom birokracijom krivac za ekonomske i druge probleme pojedinih zemalja i sl. Vrhunac te tendencije je (za sada) odluka Velike Britanije da napusti EU (tzv. BREXIT). </w:t>
      </w:r>
    </w:p>
    <w:p w14:paraId="36328A97" w14:textId="77777777" w:rsidR="007F2363" w:rsidRDefault="007F2363" w:rsidP="00FC19A9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4BFBA456" w14:textId="77777777" w:rsidR="007F2363" w:rsidRDefault="007F2363" w:rsidP="00FC19A9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Osobno, smatram da je uz određene korekcije EU i njeno jačanje jedini racionalni odabir europskih država, kako zbog ekonomskih, tako i zbog sigurnosnih i općepolitičkih razloga. Štoviše, smatram kako zaustavljanje procesa daljnje integracije  EU vrlo vjerojatno vodi okončanju projekta EU sa svim negativnim političkim, ekonomskim, sigurnosnim i općecivilizacijskim posljedicama. Zapravo, očuvanje statusa quo u kojemu se mnoge države članice zalažu, ne za „više Europe“, nego za „manje Europe“ ima dugoročno isti efekt kao i politika koja bi  uspjela nametnuti koncept „manje Europe“.</w:t>
      </w:r>
    </w:p>
    <w:p w14:paraId="0FDC5D26" w14:textId="77777777" w:rsidR="007F2363" w:rsidRDefault="007F2363" w:rsidP="00FC19A9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</w:t>
      </w:r>
      <w:r w:rsidRPr="007F23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0CCCD6" wp14:editId="781AEE7A">
            <wp:extent cx="2552699" cy="1914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9386" cy="194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E2F7B" w14:textId="77777777" w:rsidR="007F2363" w:rsidRDefault="007F2363" w:rsidP="00FC19A9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3A04FC3" w14:textId="77777777" w:rsidR="00B721E0" w:rsidRDefault="007F2363" w:rsidP="00FC19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>U tom kontekstu, Lisabonski ugovor</w:t>
      </w:r>
      <w:r w:rsidR="00B721E0">
        <w:rPr>
          <w:rFonts w:ascii="Arial" w:hAnsi="Arial" w:cs="Arial"/>
          <w:sz w:val="24"/>
          <w:szCs w:val="24"/>
          <w:lang w:val="hr-HR"/>
        </w:rPr>
        <w:t xml:space="preserve">, koji širi prostor zajedništva u EU, pa i na područje klasično suverenog državnog prostora kakvo je pravosuđe, rad Europskog suda, ali i uvođenje institucije Europskog tužitelja, možemo smatrati pobjedom puzajućeg eruopejstva u odnosu na sebični, danas već i eruptivni suverenizam i euroskepticizam  koji prijeti opstanku projekta EU.  </w:t>
      </w:r>
    </w:p>
    <w:p w14:paraId="2820A9A8" w14:textId="77777777" w:rsidR="00B721E0" w:rsidRDefault="00B721E0" w:rsidP="00FC1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196641" w14:textId="77777777" w:rsidR="00B721E0" w:rsidRDefault="00B721E0" w:rsidP="00FC1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48562" w14:textId="77777777" w:rsidR="00B721E0" w:rsidRPr="00B721E0" w:rsidRDefault="00B721E0" w:rsidP="00FC1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21E0">
        <w:rPr>
          <w:rFonts w:ascii="Arial" w:hAnsi="Arial" w:cs="Arial"/>
          <w:b/>
          <w:sz w:val="24"/>
          <w:szCs w:val="24"/>
        </w:rPr>
        <w:t>2. P</w:t>
      </w:r>
      <w:r>
        <w:rPr>
          <w:rFonts w:ascii="Arial" w:hAnsi="Arial" w:cs="Arial"/>
          <w:b/>
          <w:sz w:val="24"/>
          <w:szCs w:val="24"/>
        </w:rPr>
        <w:t xml:space="preserve">RAVNI OKVIR ZA RAD EUROPSKOG JAVNOG </w:t>
      </w:r>
      <w:proofErr w:type="gramStart"/>
      <w:r>
        <w:rPr>
          <w:rFonts w:ascii="Arial" w:hAnsi="Arial" w:cs="Arial"/>
          <w:b/>
          <w:sz w:val="24"/>
          <w:szCs w:val="24"/>
        </w:rPr>
        <w:t>JUŽITELJA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PERSPEKTIVNI PROJEKT ILI NEFUNKCIONALNI PRAVNI POLUFABRIKAT</w:t>
      </w:r>
    </w:p>
    <w:p w14:paraId="7E2DDC29" w14:textId="77777777" w:rsidR="00B721E0" w:rsidRDefault="00B721E0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640FC0" w14:textId="77777777" w:rsidR="00B721E0" w:rsidRDefault="00B721E0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Članak</w:t>
      </w:r>
      <w:proofErr w:type="spellEnd"/>
      <w:r>
        <w:rPr>
          <w:rFonts w:ascii="Arial" w:hAnsi="Arial" w:cs="Arial"/>
          <w:sz w:val="24"/>
          <w:szCs w:val="24"/>
        </w:rPr>
        <w:t xml:space="preserve"> 86.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Europskoj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Lisabona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tzv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Lisabonski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temelj</w:t>
      </w:r>
      <w:proofErr w:type="spellEnd"/>
      <w:r>
        <w:rPr>
          <w:rFonts w:ascii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sz w:val="24"/>
          <w:szCs w:val="24"/>
        </w:rPr>
        <w:t>primarnim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pravom</w:t>
      </w:r>
      <w:proofErr w:type="spellEnd"/>
      <w:r>
        <w:rPr>
          <w:rFonts w:ascii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hAnsi="Arial" w:cs="Arial"/>
          <w:sz w:val="24"/>
          <w:szCs w:val="24"/>
        </w:rPr>
        <w:t>osnuje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34598">
        <w:rPr>
          <w:rFonts w:ascii="Arial" w:hAnsi="Arial" w:cs="Arial"/>
          <w:sz w:val="24"/>
          <w:szCs w:val="24"/>
        </w:rPr>
        <w:t>Lisabonski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ugovor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prilično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šturo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propisuje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osnivanje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4598">
        <w:rPr>
          <w:rFonts w:ascii="Arial" w:hAnsi="Arial" w:cs="Arial"/>
          <w:sz w:val="24"/>
          <w:szCs w:val="24"/>
        </w:rPr>
        <w:t>nadležnost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elemente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postupanja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Tužitelja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34598">
        <w:rPr>
          <w:rFonts w:ascii="Arial" w:hAnsi="Arial" w:cs="Arial"/>
          <w:sz w:val="24"/>
          <w:szCs w:val="24"/>
        </w:rPr>
        <w:t>Ključno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4598">
        <w:rPr>
          <w:rFonts w:ascii="Arial" w:hAnsi="Arial" w:cs="Arial"/>
          <w:sz w:val="24"/>
          <w:szCs w:val="24"/>
        </w:rPr>
        <w:t>Europski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tužitelj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bi </w:t>
      </w:r>
      <w:proofErr w:type="spellStart"/>
      <w:r w:rsidR="00F34598">
        <w:rPr>
          <w:rFonts w:ascii="Arial" w:hAnsi="Arial" w:cs="Arial"/>
          <w:sz w:val="24"/>
          <w:szCs w:val="24"/>
        </w:rPr>
        <w:t>pred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nacionalnim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sudovima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trebao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istraživati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kazneno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progoniti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za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kaznena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djela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na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štetu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financijskih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interesa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EU. </w:t>
      </w:r>
      <w:proofErr w:type="spellStart"/>
      <w:r w:rsidR="00F34598">
        <w:rPr>
          <w:rFonts w:ascii="Arial" w:hAnsi="Arial" w:cs="Arial"/>
          <w:sz w:val="24"/>
          <w:szCs w:val="24"/>
        </w:rPr>
        <w:t>Posebno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4598">
        <w:rPr>
          <w:rFonts w:ascii="Arial" w:hAnsi="Arial" w:cs="Arial"/>
          <w:sz w:val="24"/>
          <w:szCs w:val="24"/>
        </w:rPr>
        <w:t>odredba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da bi se </w:t>
      </w:r>
      <w:proofErr w:type="spellStart"/>
      <w:r w:rsidR="00F34598">
        <w:rPr>
          <w:rFonts w:ascii="Arial" w:hAnsi="Arial" w:cs="Arial"/>
          <w:sz w:val="24"/>
          <w:szCs w:val="24"/>
        </w:rPr>
        <w:t>na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predraspravno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postupanje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Tužilja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primijenjivalo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pravo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EU, a od faze </w:t>
      </w:r>
      <w:proofErr w:type="spellStart"/>
      <w:r w:rsidR="00F34598">
        <w:rPr>
          <w:rFonts w:ascii="Arial" w:hAnsi="Arial" w:cs="Arial"/>
          <w:sz w:val="24"/>
          <w:szCs w:val="24"/>
        </w:rPr>
        <w:t>optuživanja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F34598">
        <w:rPr>
          <w:rFonts w:ascii="Arial" w:hAnsi="Arial" w:cs="Arial"/>
          <w:sz w:val="24"/>
          <w:szCs w:val="24"/>
        </w:rPr>
        <w:t>završetka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postupka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nacionalno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pravo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4598">
        <w:rPr>
          <w:rFonts w:ascii="Arial" w:hAnsi="Arial" w:cs="Arial"/>
          <w:sz w:val="24"/>
          <w:szCs w:val="24"/>
        </w:rPr>
        <w:t>otvara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bezbroj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načelnih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pravnih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dilemma </w:t>
      </w:r>
      <w:proofErr w:type="spellStart"/>
      <w:r w:rsidR="00F34598">
        <w:rPr>
          <w:rFonts w:ascii="Arial" w:hAnsi="Arial" w:cs="Arial"/>
          <w:sz w:val="24"/>
          <w:szCs w:val="24"/>
        </w:rPr>
        <w:t>te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brojna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praktična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pitanja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34598">
        <w:rPr>
          <w:rFonts w:ascii="Arial" w:hAnsi="Arial" w:cs="Arial"/>
          <w:sz w:val="24"/>
          <w:szCs w:val="24"/>
        </w:rPr>
        <w:t>Ključni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je problem </w:t>
      </w:r>
      <w:proofErr w:type="spellStart"/>
      <w:r w:rsidR="00F34598">
        <w:rPr>
          <w:rFonts w:ascii="Arial" w:hAnsi="Arial" w:cs="Arial"/>
          <w:sz w:val="24"/>
          <w:szCs w:val="24"/>
        </w:rPr>
        <w:t>može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li se </w:t>
      </w:r>
      <w:proofErr w:type="spellStart"/>
      <w:r w:rsidR="00F34598">
        <w:rPr>
          <w:rFonts w:ascii="Arial" w:hAnsi="Arial" w:cs="Arial"/>
          <w:sz w:val="24"/>
          <w:szCs w:val="24"/>
        </w:rPr>
        <w:t>interpolacijom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vrlo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složenog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međunarodnog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mehanizma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F34598">
        <w:rPr>
          <w:rFonts w:ascii="Arial" w:hAnsi="Arial" w:cs="Arial"/>
          <w:sz w:val="24"/>
          <w:szCs w:val="24"/>
        </w:rPr>
        <w:t>strukturu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nacionalnog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kaznenog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progona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očekivati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veća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efikasnost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i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bolje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ostvarivanje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deklariranih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ciljeva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institucije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Europskog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javnog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tužitelja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34598">
        <w:rPr>
          <w:rFonts w:ascii="Arial" w:hAnsi="Arial" w:cs="Arial"/>
          <w:sz w:val="24"/>
          <w:szCs w:val="24"/>
        </w:rPr>
        <w:t>efikasna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zaštita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financijskih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4598">
        <w:rPr>
          <w:rFonts w:ascii="Arial" w:hAnsi="Arial" w:cs="Arial"/>
          <w:sz w:val="24"/>
          <w:szCs w:val="24"/>
        </w:rPr>
        <w:t>interesa</w:t>
      </w:r>
      <w:proofErr w:type="spellEnd"/>
      <w:r w:rsidR="00F34598">
        <w:rPr>
          <w:rFonts w:ascii="Arial" w:hAnsi="Arial" w:cs="Arial"/>
          <w:sz w:val="24"/>
          <w:szCs w:val="24"/>
        </w:rPr>
        <w:t xml:space="preserve"> EU). </w:t>
      </w:r>
      <w:proofErr w:type="spellStart"/>
      <w:r w:rsidR="004913C0">
        <w:rPr>
          <w:rFonts w:ascii="Arial" w:hAnsi="Arial" w:cs="Arial"/>
          <w:sz w:val="24"/>
          <w:szCs w:val="24"/>
        </w:rPr>
        <w:t>Nadalje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13C0">
        <w:rPr>
          <w:rFonts w:ascii="Arial" w:hAnsi="Arial" w:cs="Arial"/>
          <w:sz w:val="24"/>
          <w:szCs w:val="24"/>
        </w:rPr>
        <w:t>legitimno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913C0">
        <w:rPr>
          <w:rFonts w:ascii="Arial" w:hAnsi="Arial" w:cs="Arial"/>
          <w:sz w:val="24"/>
          <w:szCs w:val="24"/>
        </w:rPr>
        <w:t>pitanje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da li je </w:t>
      </w:r>
      <w:proofErr w:type="spellStart"/>
      <w:r w:rsidR="004913C0">
        <w:rPr>
          <w:rFonts w:ascii="Arial" w:hAnsi="Arial" w:cs="Arial"/>
          <w:sz w:val="24"/>
          <w:szCs w:val="24"/>
        </w:rPr>
        <w:t>uvođenje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Europskog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javnog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tužitelja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izraz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nepovjerenja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prema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nacionalnim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institucijama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kaznenog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postupka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13C0">
        <w:rPr>
          <w:rFonts w:ascii="Arial" w:hAnsi="Arial" w:cs="Arial"/>
          <w:sz w:val="24"/>
          <w:szCs w:val="24"/>
        </w:rPr>
        <w:t>Uz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to, </w:t>
      </w:r>
      <w:proofErr w:type="spellStart"/>
      <w:r w:rsidR="004913C0">
        <w:rPr>
          <w:rFonts w:ascii="Arial" w:hAnsi="Arial" w:cs="Arial"/>
          <w:sz w:val="24"/>
          <w:szCs w:val="24"/>
        </w:rPr>
        <w:t>dvojbeno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je da li </w:t>
      </w:r>
      <w:proofErr w:type="spellStart"/>
      <w:r w:rsidR="004913C0">
        <w:rPr>
          <w:rFonts w:ascii="Arial" w:hAnsi="Arial" w:cs="Arial"/>
          <w:sz w:val="24"/>
          <w:szCs w:val="24"/>
        </w:rPr>
        <w:t>sustav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4913C0">
        <w:rPr>
          <w:rFonts w:ascii="Arial" w:hAnsi="Arial" w:cs="Arial"/>
          <w:sz w:val="24"/>
          <w:szCs w:val="24"/>
        </w:rPr>
        <w:t>dva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delegirana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4913C0">
        <w:rPr>
          <w:rFonts w:ascii="Arial" w:hAnsi="Arial" w:cs="Arial"/>
          <w:sz w:val="24"/>
          <w:szCs w:val="24"/>
        </w:rPr>
        <w:t>tužitelja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913C0">
        <w:rPr>
          <w:rFonts w:ascii="Arial" w:hAnsi="Arial" w:cs="Arial"/>
          <w:sz w:val="24"/>
          <w:szCs w:val="24"/>
        </w:rPr>
        <w:t>slikovita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4913C0">
        <w:rPr>
          <w:rFonts w:ascii="Arial" w:hAnsi="Arial" w:cs="Arial"/>
          <w:sz w:val="24"/>
          <w:szCs w:val="24"/>
        </w:rPr>
        <w:t>usporedba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s “</w:t>
      </w:r>
      <w:proofErr w:type="spellStart"/>
      <w:r w:rsidR="004913C0">
        <w:rPr>
          <w:rFonts w:ascii="Arial" w:hAnsi="Arial" w:cs="Arial"/>
          <w:sz w:val="24"/>
          <w:szCs w:val="24"/>
        </w:rPr>
        <w:t>tikvom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bez </w:t>
      </w:r>
      <w:proofErr w:type="spellStart"/>
      <w:r w:rsidR="004913C0">
        <w:rPr>
          <w:rFonts w:ascii="Arial" w:hAnsi="Arial" w:cs="Arial"/>
          <w:sz w:val="24"/>
          <w:szCs w:val="24"/>
        </w:rPr>
        <w:t>korijena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”) </w:t>
      </w:r>
      <w:proofErr w:type="spellStart"/>
      <w:r w:rsidR="004913C0">
        <w:rPr>
          <w:rFonts w:ascii="Arial" w:hAnsi="Arial" w:cs="Arial"/>
          <w:sz w:val="24"/>
          <w:szCs w:val="24"/>
        </w:rPr>
        <w:t>biti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efikasniji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4913C0">
        <w:rPr>
          <w:rFonts w:ascii="Arial" w:hAnsi="Arial" w:cs="Arial"/>
          <w:sz w:val="24"/>
          <w:szCs w:val="24"/>
        </w:rPr>
        <w:t>etabliranog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nacionalnog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tijela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kakvo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je u </w:t>
      </w:r>
      <w:proofErr w:type="spellStart"/>
      <w:r w:rsidR="004913C0">
        <w:rPr>
          <w:rFonts w:ascii="Arial" w:hAnsi="Arial" w:cs="Arial"/>
          <w:sz w:val="24"/>
          <w:szCs w:val="24"/>
        </w:rPr>
        <w:t>Hrvatskoj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USKOK </w:t>
      </w:r>
      <w:proofErr w:type="spellStart"/>
      <w:r w:rsidR="004913C0">
        <w:rPr>
          <w:rFonts w:ascii="Arial" w:hAnsi="Arial" w:cs="Arial"/>
          <w:sz w:val="24"/>
          <w:szCs w:val="24"/>
        </w:rPr>
        <w:t>te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a li </w:t>
      </w:r>
      <w:proofErr w:type="spellStart"/>
      <w:r w:rsidR="004913C0">
        <w:rPr>
          <w:rFonts w:ascii="Arial" w:hAnsi="Arial" w:cs="Arial"/>
          <w:sz w:val="24"/>
          <w:szCs w:val="24"/>
        </w:rPr>
        <w:t>će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novi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kanal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komunikacije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nacionalnih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instutocija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te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institucija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više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država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proizoditi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te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šum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913C0">
        <w:rPr>
          <w:rFonts w:ascii="Arial" w:hAnsi="Arial" w:cs="Arial"/>
          <w:sz w:val="24"/>
          <w:szCs w:val="24"/>
        </w:rPr>
        <w:t>komunikaciji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i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otezanje</w:t>
      </w:r>
      <w:proofErr w:type="spellEnd"/>
      <w:r w:rsidR="004913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13C0">
        <w:rPr>
          <w:rFonts w:ascii="Arial" w:hAnsi="Arial" w:cs="Arial"/>
          <w:sz w:val="24"/>
          <w:szCs w:val="24"/>
        </w:rPr>
        <w:t>postupka</w:t>
      </w:r>
      <w:proofErr w:type="spellEnd"/>
      <w:r w:rsidR="004913C0">
        <w:rPr>
          <w:rFonts w:ascii="Arial" w:hAnsi="Arial" w:cs="Arial"/>
          <w:sz w:val="24"/>
          <w:szCs w:val="24"/>
        </w:rPr>
        <w:t>.</w:t>
      </w:r>
    </w:p>
    <w:p w14:paraId="59BD0028" w14:textId="77777777" w:rsidR="004913C0" w:rsidRDefault="004913C0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BDC57" w14:textId="77777777" w:rsidR="004913C0" w:rsidRDefault="004913C0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Delegirani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Europski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tužitelji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sadašnjem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opeterećeni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višestrukim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statusnim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funkcionalnim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problemima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C00DF54" w14:textId="77777777" w:rsidR="004913C0" w:rsidRDefault="004913C0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Prvi</w:t>
      </w:r>
      <w:proofErr w:type="spellEnd"/>
      <w:r>
        <w:rPr>
          <w:rFonts w:ascii="Arial" w:hAnsi="Arial" w:cs="Arial"/>
          <w:sz w:val="24"/>
          <w:szCs w:val="24"/>
        </w:rPr>
        <w:t xml:space="preserve"> je problem </w:t>
      </w:r>
      <w:proofErr w:type="spellStart"/>
      <w:r>
        <w:rPr>
          <w:rFonts w:ascii="Arial" w:hAnsi="Arial" w:cs="Arial"/>
          <w:sz w:val="24"/>
          <w:szCs w:val="24"/>
        </w:rPr>
        <w:t>onaj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vezan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neovisnost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nacionalnim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posebno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riječ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politici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dvije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stolice</w:t>
      </w:r>
      <w:proofErr w:type="spellEnd"/>
      <w:r>
        <w:rPr>
          <w:rFonts w:ascii="Arial" w:hAnsi="Arial" w:cs="Arial"/>
          <w:sz w:val="24"/>
          <w:szCs w:val="24"/>
        </w:rPr>
        <w:t xml:space="preserve">” – </w:t>
      </w:r>
      <w:proofErr w:type="spellStart"/>
      <w:r>
        <w:rPr>
          <w:rFonts w:ascii="Arial" w:hAnsi="Arial" w:cs="Arial"/>
          <w:sz w:val="24"/>
          <w:szCs w:val="24"/>
        </w:rPr>
        <w:t>rješenju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kojemu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Europski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ustroja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tužiteljstva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Pri</w:t>
      </w:r>
      <w:proofErr w:type="spellEnd"/>
      <w:r>
        <w:rPr>
          <w:rFonts w:ascii="Arial" w:hAnsi="Arial" w:cs="Arial"/>
          <w:sz w:val="24"/>
          <w:szCs w:val="24"/>
        </w:rPr>
        <w:t xml:space="preserve"> tome, </w:t>
      </w:r>
      <w:proofErr w:type="spellStart"/>
      <w:r>
        <w:rPr>
          <w:rFonts w:ascii="Arial" w:hAnsi="Arial" w:cs="Arial"/>
          <w:sz w:val="24"/>
          <w:szCs w:val="24"/>
        </w:rPr>
        <w:t>primarno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postavlja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njegove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hjerariske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pozicije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ostalo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otvaraju</w:t>
      </w:r>
      <w:proofErr w:type="spellEnd"/>
      <w:r>
        <w:rPr>
          <w:rFonts w:ascii="Arial" w:hAnsi="Arial" w:cs="Arial"/>
          <w:sz w:val="24"/>
          <w:szCs w:val="24"/>
        </w:rPr>
        <w:t xml:space="preserve"> se problem “</w:t>
      </w:r>
      <w:proofErr w:type="spellStart"/>
      <w:r>
        <w:rPr>
          <w:rFonts w:ascii="Arial" w:hAnsi="Arial" w:cs="Arial"/>
          <w:sz w:val="24"/>
          <w:szCs w:val="24"/>
        </w:rPr>
        <w:t>tehničke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nartavi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poput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devolutivnog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odlučivanja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nastupanju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sudovima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različitog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nadležnosti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policiji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rješavanje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sukoba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nadležnosti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odlučivanje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izuzeću</w:t>
      </w:r>
      <w:proofErr w:type="spellEnd"/>
      <w:r>
        <w:rPr>
          <w:rFonts w:ascii="Arial" w:hAnsi="Arial" w:cs="Arial"/>
          <w:sz w:val="24"/>
          <w:szCs w:val="24"/>
        </w:rPr>
        <w:t>…….</w:t>
      </w:r>
    </w:p>
    <w:p w14:paraId="08847EAC" w14:textId="77777777" w:rsidR="004913C0" w:rsidRDefault="004913C0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FC4833" w14:textId="77777777" w:rsidR="00B17717" w:rsidRDefault="004913C0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Najjednostavnije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rješenje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politički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vjerojatno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neprihvatljivo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država-članica</w:t>
      </w:r>
      <w:proofErr w:type="spellEnd"/>
      <w:r>
        <w:rPr>
          <w:rFonts w:ascii="Arial" w:hAnsi="Arial" w:cs="Arial"/>
          <w:sz w:val="24"/>
          <w:szCs w:val="24"/>
        </w:rPr>
        <w:t xml:space="preserve"> jest ono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sz w:val="24"/>
          <w:szCs w:val="24"/>
        </w:rPr>
        <w:t>Europskom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potpuno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odvjetniku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1771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17717">
        <w:rPr>
          <w:rFonts w:ascii="Arial" w:hAnsi="Arial" w:cs="Arial"/>
          <w:sz w:val="24"/>
          <w:szCs w:val="24"/>
        </w:rPr>
        <w:t>političkoj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osjetljivosti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problematike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govori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i to da se </w:t>
      </w:r>
      <w:proofErr w:type="spellStart"/>
      <w:r w:rsidR="00B17717">
        <w:rPr>
          <w:rFonts w:ascii="Arial" w:hAnsi="Arial" w:cs="Arial"/>
          <w:sz w:val="24"/>
          <w:szCs w:val="24"/>
        </w:rPr>
        <w:t>jedan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broj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država-članica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nije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odlučio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na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prihvaćanje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institucije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Europskog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državnog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7717">
        <w:rPr>
          <w:rFonts w:ascii="Arial" w:hAnsi="Arial" w:cs="Arial"/>
          <w:sz w:val="24"/>
          <w:szCs w:val="24"/>
        </w:rPr>
        <w:t>odvjetnika</w:t>
      </w:r>
      <w:proofErr w:type="spellEnd"/>
      <w:r w:rsidR="00B17717">
        <w:rPr>
          <w:rFonts w:ascii="Arial" w:hAnsi="Arial" w:cs="Arial"/>
          <w:sz w:val="24"/>
          <w:szCs w:val="24"/>
        </w:rPr>
        <w:t xml:space="preserve">. </w:t>
      </w:r>
    </w:p>
    <w:p w14:paraId="326AC3D0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E6E2FF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Sigurno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Uredba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osnivanju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konfrotaciji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nacionalnim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kaznenim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organizacijskim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otvara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važna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89F21B5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DD0B20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Prvo</w:t>
      </w:r>
      <w:proofErr w:type="spellEnd"/>
      <w:r>
        <w:rPr>
          <w:rFonts w:ascii="Arial" w:hAnsi="Arial" w:cs="Arial"/>
          <w:sz w:val="24"/>
          <w:szCs w:val="24"/>
        </w:rPr>
        <w:t xml:space="preserve"> je ono o tome da li se </w:t>
      </w:r>
      <w:proofErr w:type="spellStart"/>
      <w:r>
        <w:rPr>
          <w:rFonts w:ascii="Arial" w:hAnsi="Arial" w:cs="Arial"/>
          <w:sz w:val="24"/>
          <w:szCs w:val="24"/>
        </w:rPr>
        <w:t>odredbe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istražnim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poklapaju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nacionalnim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zakonodavstvom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posebne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istražne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hitne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istražne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radnje</w:t>
      </w:r>
      <w:proofErr w:type="spellEnd"/>
      <w:r>
        <w:rPr>
          <w:rFonts w:ascii="Arial" w:hAnsi="Arial" w:cs="Arial"/>
          <w:sz w:val="24"/>
          <w:szCs w:val="24"/>
        </w:rPr>
        <w:t xml:space="preserve"> i sl.).</w:t>
      </w:r>
    </w:p>
    <w:p w14:paraId="2A009375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Nadalje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postavlja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pitanje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kompatibilnosti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uhićenju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istražnom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zatvoru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opreza</w:t>
      </w:r>
      <w:proofErr w:type="spellEnd"/>
      <w:r>
        <w:rPr>
          <w:rFonts w:ascii="Arial" w:hAnsi="Arial" w:cs="Arial"/>
          <w:sz w:val="24"/>
          <w:szCs w:val="24"/>
        </w:rPr>
        <w:t xml:space="preserve">. Ova je </w:t>
      </w:r>
      <w:proofErr w:type="spellStart"/>
      <w:r>
        <w:rPr>
          <w:rFonts w:ascii="Arial" w:hAnsi="Arial" w:cs="Arial"/>
          <w:sz w:val="24"/>
          <w:szCs w:val="24"/>
        </w:rPr>
        <w:t>materija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osjetljivija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temeljna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ljudska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slobodu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pravo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pravični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postupak</w:t>
      </w:r>
      <w:proofErr w:type="spellEnd"/>
      <w:r>
        <w:rPr>
          <w:rFonts w:ascii="Arial" w:hAnsi="Arial" w:cs="Arial"/>
          <w:sz w:val="24"/>
          <w:szCs w:val="24"/>
        </w:rPr>
        <w:t xml:space="preserve"> i dr.)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nekoherentnost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domaćem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ozbiljne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posljedice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325B842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1AA421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Nadalje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problematična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odredba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ograničenosti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viječa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pogledu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podizanja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optužnice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Naime</w:t>
      </w:r>
      <w:proofErr w:type="spellEnd"/>
      <w:r>
        <w:rPr>
          <w:rFonts w:ascii="Arial" w:hAnsi="Arial" w:cs="Arial"/>
          <w:sz w:val="24"/>
          <w:szCs w:val="24"/>
        </w:rPr>
        <w:t xml:space="preserve">, ono 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odbaciti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prijedlo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podizanju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optužnice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otvara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E174C0B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Jedno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važnih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ono o </w:t>
      </w:r>
      <w:proofErr w:type="spellStart"/>
      <w:r>
        <w:rPr>
          <w:rFonts w:ascii="Arial" w:hAnsi="Arial" w:cs="Arial"/>
          <w:sz w:val="24"/>
          <w:szCs w:val="24"/>
        </w:rPr>
        <w:t>priznavanju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izvedenih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drugim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načela</w:t>
      </w:r>
      <w:proofErr w:type="spellEnd"/>
      <w:r>
        <w:rPr>
          <w:rFonts w:ascii="Arial" w:hAnsi="Arial" w:cs="Arial"/>
          <w:sz w:val="24"/>
          <w:szCs w:val="24"/>
        </w:rPr>
        <w:t xml:space="preserve"> locus </w:t>
      </w:r>
      <w:proofErr w:type="spellStart"/>
      <w:r>
        <w:rPr>
          <w:rFonts w:ascii="Arial" w:hAnsi="Arial" w:cs="Arial"/>
          <w:sz w:val="24"/>
          <w:szCs w:val="24"/>
        </w:rPr>
        <w:t>regit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actum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Odredba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dokaz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odbaciti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sz w:val="24"/>
          <w:szCs w:val="24"/>
        </w:rPr>
        <w:t>strane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samo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jer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izveden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drugoj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državi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dovoljno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riješio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</w:rPr>
        <w:t>pitanje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ECD3BD4" w14:textId="77777777" w:rsidR="00B17717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Neovisnost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gledati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kontekstu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pitanje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njegovog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osoblja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odnosu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pravosuđe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Predvidiva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velika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razlika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barem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nekim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zemljama</w:t>
      </w:r>
      <w:proofErr w:type="spellEnd"/>
      <w:r>
        <w:rPr>
          <w:rFonts w:ascii="Arial" w:hAnsi="Arial" w:cs="Arial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Hrvatskoj</w:t>
      </w:r>
      <w:proofErr w:type="spellEnd"/>
      <w:r>
        <w:rPr>
          <w:rFonts w:ascii="Arial" w:hAnsi="Arial" w:cs="Arial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</w:rPr>
        <w:t>korist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Eurospskog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sigurno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posebno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kontekstu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koncepta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dvije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stolice</w:t>
      </w:r>
      <w:proofErr w:type="spellEnd"/>
      <w:r>
        <w:rPr>
          <w:rFonts w:ascii="Arial" w:hAnsi="Arial" w:cs="Arial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sz w:val="24"/>
          <w:szCs w:val="24"/>
        </w:rPr>
        <w:t>izazvati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određene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međuljudske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7D1B31" w14:textId="77777777" w:rsidR="00FC19A9" w:rsidRDefault="00B17717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narav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kaznena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djela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financijskih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ineteresa</w:t>
      </w:r>
      <w:proofErr w:type="spellEnd"/>
      <w:r>
        <w:rPr>
          <w:rFonts w:ascii="Arial" w:hAnsi="Arial" w:cs="Arial"/>
          <w:sz w:val="24"/>
          <w:szCs w:val="24"/>
        </w:rPr>
        <w:t xml:space="preserve"> EU je </w:t>
      </w:r>
      <w:proofErr w:type="spellStart"/>
      <w:r>
        <w:rPr>
          <w:rFonts w:ascii="Arial" w:hAnsi="Arial" w:cs="Arial"/>
          <w:sz w:val="24"/>
          <w:szCs w:val="24"/>
        </w:rPr>
        <w:t>takva</w:t>
      </w:r>
      <w:proofErr w:type="spellEnd"/>
      <w:r>
        <w:rPr>
          <w:rFonts w:ascii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sz w:val="24"/>
          <w:szCs w:val="24"/>
        </w:rPr>
        <w:t>razumno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očekivati</w:t>
      </w:r>
      <w:proofErr w:type="spellEnd"/>
      <w:r>
        <w:rPr>
          <w:rFonts w:ascii="Arial" w:hAnsi="Arial" w:cs="Arial"/>
          <w:sz w:val="24"/>
          <w:szCs w:val="24"/>
        </w:rPr>
        <w:t xml:space="preserve"> da je </w:t>
      </w:r>
      <w:proofErr w:type="spellStart"/>
      <w:r>
        <w:rPr>
          <w:rFonts w:ascii="Arial" w:hAnsi="Arial" w:cs="Arial"/>
          <w:sz w:val="24"/>
          <w:szCs w:val="24"/>
        </w:rPr>
        <w:t>riječ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dugotrajnim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skupim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postupcima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Odredba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troškove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sigurno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će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slučajevima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neuspjeha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optužbe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generirati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nezadovoljstvo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država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C19A9">
        <w:rPr>
          <w:rFonts w:ascii="Arial" w:hAnsi="Arial" w:cs="Arial"/>
          <w:sz w:val="24"/>
          <w:szCs w:val="24"/>
        </w:rPr>
        <w:t>Prema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Uredbi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19A9">
        <w:rPr>
          <w:rFonts w:ascii="Arial" w:hAnsi="Arial" w:cs="Arial"/>
          <w:sz w:val="24"/>
          <w:szCs w:val="24"/>
        </w:rPr>
        <w:t>proračun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Ureda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Europskog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tužitelja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B17717">
        <w:rPr>
          <w:rFonts w:ascii="Arial" w:hAnsi="Arial" w:cs="Arial"/>
          <w:sz w:val="24"/>
          <w:szCs w:val="24"/>
        </w:rPr>
        <w:t>obuhvaća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operativne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troškove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7717">
        <w:rPr>
          <w:rFonts w:ascii="Arial" w:hAnsi="Arial" w:cs="Arial"/>
          <w:sz w:val="24"/>
          <w:szCs w:val="24"/>
        </w:rPr>
        <w:t>osim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fakultativno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kod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iznimno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složenih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i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skupih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17717">
        <w:rPr>
          <w:rFonts w:ascii="Arial" w:hAnsi="Arial" w:cs="Arial"/>
          <w:sz w:val="24"/>
          <w:szCs w:val="24"/>
        </w:rPr>
        <w:t>radnji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r w:rsidR="00FC19A9">
        <w:rPr>
          <w:rFonts w:ascii="Arial" w:hAnsi="Arial" w:cs="Arial"/>
          <w:sz w:val="24"/>
          <w:szCs w:val="24"/>
        </w:rPr>
        <w:t>.</w:t>
      </w:r>
      <w:proofErr w:type="gramEnd"/>
      <w:r w:rsidR="00FC19A9">
        <w:rPr>
          <w:rFonts w:ascii="Arial" w:hAnsi="Arial" w:cs="Arial"/>
          <w:sz w:val="24"/>
          <w:szCs w:val="24"/>
        </w:rPr>
        <w:t xml:space="preserve"> Ali, u </w:t>
      </w:r>
      <w:proofErr w:type="spellStart"/>
      <w:r w:rsidR="00FC19A9">
        <w:rPr>
          <w:rFonts w:ascii="Arial" w:hAnsi="Arial" w:cs="Arial"/>
          <w:sz w:val="24"/>
          <w:szCs w:val="24"/>
        </w:rPr>
        <w:t>istom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članku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(</w:t>
      </w:r>
      <w:r w:rsidRPr="00B17717">
        <w:rPr>
          <w:rFonts w:ascii="Arial" w:hAnsi="Arial" w:cs="Arial"/>
          <w:sz w:val="24"/>
          <w:szCs w:val="24"/>
        </w:rPr>
        <w:t xml:space="preserve">91. </w:t>
      </w:r>
      <w:proofErr w:type="spellStart"/>
      <w:r w:rsidRPr="00B17717">
        <w:rPr>
          <w:rFonts w:ascii="Arial" w:hAnsi="Arial" w:cs="Arial"/>
          <w:sz w:val="24"/>
          <w:szCs w:val="24"/>
        </w:rPr>
        <w:t>st.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7</w:t>
      </w:r>
      <w:r w:rsidR="00FC19A9">
        <w:rPr>
          <w:rFonts w:ascii="Arial" w:hAnsi="Arial" w:cs="Arial"/>
          <w:sz w:val="24"/>
          <w:szCs w:val="24"/>
        </w:rPr>
        <w:t xml:space="preserve">.) </w:t>
      </w:r>
      <w:proofErr w:type="spellStart"/>
      <w:r w:rsidR="00FC19A9">
        <w:rPr>
          <w:rFonts w:ascii="Arial" w:hAnsi="Arial" w:cs="Arial"/>
          <w:sz w:val="24"/>
          <w:szCs w:val="24"/>
        </w:rPr>
        <w:t>Uredba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navodi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C19A9">
        <w:rPr>
          <w:rFonts w:ascii="Arial" w:hAnsi="Arial" w:cs="Arial"/>
          <w:sz w:val="24"/>
          <w:szCs w:val="24"/>
        </w:rPr>
        <w:t>praktično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sve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C19A9">
        <w:rPr>
          <w:rFonts w:ascii="Arial" w:hAnsi="Arial" w:cs="Arial"/>
          <w:sz w:val="24"/>
          <w:szCs w:val="24"/>
        </w:rPr>
        <w:t>troškove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snose</w:t>
      </w:r>
      <w:proofErr w:type="spellEnd"/>
      <w:proofErr w:type="gram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države</w:t>
      </w:r>
      <w:proofErr w:type="spellEnd"/>
      <w:r w:rsidRPr="00B177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717">
        <w:rPr>
          <w:rFonts w:ascii="Arial" w:hAnsi="Arial" w:cs="Arial"/>
          <w:sz w:val="24"/>
          <w:szCs w:val="24"/>
        </w:rPr>
        <w:t>član</w:t>
      </w:r>
      <w:r w:rsidR="00FC19A9">
        <w:rPr>
          <w:rFonts w:ascii="Arial" w:hAnsi="Arial" w:cs="Arial"/>
          <w:sz w:val="24"/>
          <w:szCs w:val="24"/>
        </w:rPr>
        <w:t>ice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C19A9">
        <w:rPr>
          <w:rFonts w:ascii="Arial" w:hAnsi="Arial" w:cs="Arial"/>
          <w:sz w:val="24"/>
          <w:szCs w:val="24"/>
        </w:rPr>
        <w:t>Ovakvo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će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kontradiktorno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pravno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uređenje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sigurno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tražiti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dodatne</w:t>
      </w:r>
      <w:proofErr w:type="spellEnd"/>
      <w:r w:rsidR="00FC19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19A9">
        <w:rPr>
          <w:rFonts w:ascii="Arial" w:hAnsi="Arial" w:cs="Arial"/>
          <w:sz w:val="24"/>
          <w:szCs w:val="24"/>
        </w:rPr>
        <w:t>upute</w:t>
      </w:r>
      <w:proofErr w:type="spellEnd"/>
      <w:r w:rsidR="00FC19A9">
        <w:rPr>
          <w:rFonts w:ascii="Arial" w:hAnsi="Arial" w:cs="Arial"/>
          <w:sz w:val="24"/>
          <w:szCs w:val="24"/>
        </w:rPr>
        <w:t>.</w:t>
      </w:r>
    </w:p>
    <w:p w14:paraId="74890535" w14:textId="77777777" w:rsidR="00FC19A9" w:rsidRDefault="00FC19A9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9BD5C" w14:textId="77777777" w:rsidR="00FC19A9" w:rsidRDefault="00FC19A9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025D0B" w14:textId="77777777" w:rsidR="00FC19A9" w:rsidRPr="00FC19A9" w:rsidRDefault="00FC19A9" w:rsidP="00FC19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19A9">
        <w:rPr>
          <w:rFonts w:ascii="Arial" w:hAnsi="Arial" w:cs="Arial"/>
          <w:b/>
          <w:sz w:val="24"/>
          <w:szCs w:val="24"/>
        </w:rPr>
        <w:t>3. ZAKLJUČNE NAPOMENE</w:t>
      </w:r>
    </w:p>
    <w:p w14:paraId="25B85B0B" w14:textId="77777777" w:rsidR="00B721E0" w:rsidRDefault="00FC19A9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898C24" w14:textId="77777777" w:rsidR="00FC19A9" w:rsidRDefault="00FC19A9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ovome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izlaganju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okvirno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izdovjeni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najvažniji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naravi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. Oni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njegov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položaj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europskom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sustavima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rezultat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kompromisa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kojemu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kvaliteta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normiranja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dosljednost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profiliranja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ustuknula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željom</w:t>
      </w:r>
      <w:proofErr w:type="spellEnd"/>
      <w:r>
        <w:rPr>
          <w:rFonts w:ascii="Arial" w:hAnsi="Arial" w:cs="Arial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sz w:val="24"/>
          <w:szCs w:val="24"/>
        </w:rPr>
        <w:t>kako-tako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perspektivno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važna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instuticija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3D1FE12" w14:textId="77777777" w:rsidR="00FC19A9" w:rsidRDefault="00FC19A9" w:rsidP="00FC1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obzirom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države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neažuzrno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Uredbe</w:t>
      </w:r>
      <w:proofErr w:type="spellEnd"/>
      <w:r>
        <w:rPr>
          <w:rFonts w:ascii="Arial" w:hAnsi="Arial" w:cs="Arial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sz w:val="24"/>
          <w:szCs w:val="24"/>
        </w:rPr>
        <w:t>postoje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nejasnoće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otpori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sudbina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sasvim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jasna</w:t>
      </w:r>
      <w:proofErr w:type="spellEnd"/>
      <w:r>
        <w:rPr>
          <w:rFonts w:ascii="Arial" w:hAnsi="Arial" w:cs="Arial"/>
          <w:sz w:val="24"/>
          <w:szCs w:val="24"/>
        </w:rPr>
        <w:t xml:space="preserve">. Danas je </w:t>
      </w:r>
      <w:proofErr w:type="spellStart"/>
      <w:r>
        <w:rPr>
          <w:rFonts w:ascii="Arial" w:hAnsi="Arial" w:cs="Arial"/>
          <w:sz w:val="24"/>
          <w:szCs w:val="24"/>
        </w:rPr>
        <w:t>Europski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tužitelj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raskrižju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kojega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iznimno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važan</w:t>
      </w:r>
      <w:proofErr w:type="spellEnd"/>
      <w:r>
        <w:rPr>
          <w:rFonts w:ascii="Arial" w:hAnsi="Arial" w:cs="Arial"/>
          <w:sz w:val="24"/>
          <w:szCs w:val="24"/>
        </w:rPr>
        <w:t xml:space="preserve"> instrument </w:t>
      </w:r>
      <w:proofErr w:type="spellStart"/>
      <w:r>
        <w:rPr>
          <w:rFonts w:ascii="Arial" w:hAnsi="Arial" w:cs="Arial"/>
          <w:sz w:val="24"/>
          <w:szCs w:val="24"/>
        </w:rPr>
        <w:t>jačanja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europejstva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integracije</w:t>
      </w:r>
      <w:proofErr w:type="spellEnd"/>
      <w:r>
        <w:rPr>
          <w:rFonts w:ascii="Arial" w:hAnsi="Arial" w:cs="Arial"/>
          <w:sz w:val="24"/>
          <w:szCs w:val="24"/>
        </w:rPr>
        <w:t xml:space="preserve"> EU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jačanja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tzv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europskoj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razini</w:t>
      </w:r>
      <w:proofErr w:type="spellEnd"/>
      <w:r>
        <w:rPr>
          <w:rFonts w:ascii="Arial" w:hAnsi="Arial" w:cs="Arial"/>
          <w:sz w:val="24"/>
          <w:szCs w:val="24"/>
        </w:rPr>
        <w:t xml:space="preserve">. Ali, </w:t>
      </w:r>
      <w:proofErr w:type="spellStart"/>
      <w:r>
        <w:rPr>
          <w:rFonts w:ascii="Arial" w:hAnsi="Arial" w:cs="Arial"/>
          <w:sz w:val="24"/>
          <w:szCs w:val="24"/>
        </w:rPr>
        <w:t>isto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isključeno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postane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politički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navažni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prirepak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nacionalnih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pravosuđa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FC19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4287E" w14:textId="77777777" w:rsidR="008A6970" w:rsidRDefault="008A6970" w:rsidP="00755FF0">
      <w:pPr>
        <w:spacing w:after="0" w:line="240" w:lineRule="auto"/>
      </w:pPr>
      <w:r>
        <w:separator/>
      </w:r>
    </w:p>
  </w:endnote>
  <w:endnote w:type="continuationSeparator" w:id="0">
    <w:p w14:paraId="41E1C14C" w14:textId="77777777" w:rsidR="008A6970" w:rsidRDefault="008A6970" w:rsidP="0075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79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D59D4" w14:textId="77777777" w:rsidR="00FC19A9" w:rsidRDefault="00FC19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F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1C1678" w14:textId="77777777" w:rsidR="00FC19A9" w:rsidRDefault="00FC19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BBC20" w14:textId="77777777" w:rsidR="008A6970" w:rsidRDefault="008A6970" w:rsidP="00755FF0">
      <w:pPr>
        <w:spacing w:after="0" w:line="240" w:lineRule="auto"/>
      </w:pPr>
      <w:r>
        <w:separator/>
      </w:r>
    </w:p>
  </w:footnote>
  <w:footnote w:type="continuationSeparator" w:id="0">
    <w:p w14:paraId="3795B574" w14:textId="77777777" w:rsidR="008A6970" w:rsidRDefault="008A6970" w:rsidP="00755FF0">
      <w:pPr>
        <w:spacing w:after="0" w:line="240" w:lineRule="auto"/>
      </w:pPr>
      <w:r>
        <w:continuationSeparator/>
      </w:r>
    </w:p>
  </w:footnote>
  <w:footnote w:id="1">
    <w:p w14:paraId="14BF1E65" w14:textId="77777777" w:rsidR="00755FF0" w:rsidRPr="00755FF0" w:rsidRDefault="00755FF0" w:rsidP="00B2416E">
      <w:pPr>
        <w:pStyle w:val="FootnoteText"/>
        <w:jc w:val="both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Prof. dr. Ivo Josipović, redoviti profesor Kaznenog procesnog prava na Pravnom fakultetu Sveučilišt</w:t>
      </w:r>
      <w:r w:rsidR="00B2416E">
        <w:rPr>
          <w:lang w:val="hr-HR"/>
        </w:rPr>
        <w:t xml:space="preserve">a u Zagrebu. Ovaj rad je izlaganje autora na međunarodnoj konferenciji “Integration of the EPPO in the National Criminal Justice Systems“ održanoj u Zagrebu 11. i 12. travnja 2019. </w:t>
      </w:r>
      <w:proofErr w:type="spellStart"/>
      <w:r w:rsidR="00014FC9">
        <w:rPr>
          <w:rFonts w:ascii="Times New Roman" w:hAnsi="Times New Roman" w:cs="Times New Roman"/>
        </w:rPr>
        <w:t>S</w:t>
      </w:r>
      <w:r w:rsidR="00014FC9" w:rsidRPr="001070EF">
        <w:rPr>
          <w:rFonts w:ascii="Times New Roman" w:hAnsi="Times New Roman" w:cs="Times New Roman"/>
        </w:rPr>
        <w:t>ufinancirano</w:t>
      </w:r>
      <w:proofErr w:type="spellEnd"/>
      <w:r w:rsidR="00014FC9" w:rsidRPr="001070EF">
        <w:rPr>
          <w:rFonts w:ascii="Times New Roman" w:hAnsi="Times New Roman" w:cs="Times New Roman"/>
        </w:rPr>
        <w:t xml:space="preserve"> od </w:t>
      </w:r>
      <w:proofErr w:type="spellStart"/>
      <w:r w:rsidR="00014FC9" w:rsidRPr="001070EF">
        <w:rPr>
          <w:rFonts w:ascii="Times New Roman" w:hAnsi="Times New Roman" w:cs="Times New Roman"/>
        </w:rPr>
        <w:t>Hrvatske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zaklade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za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znanost</w:t>
      </w:r>
      <w:proofErr w:type="spellEnd"/>
      <w:r w:rsidR="00014FC9" w:rsidRPr="001070EF">
        <w:rPr>
          <w:rFonts w:ascii="Times New Roman" w:hAnsi="Times New Roman" w:cs="Times New Roman"/>
        </w:rPr>
        <w:t xml:space="preserve"> u </w:t>
      </w:r>
      <w:proofErr w:type="spellStart"/>
      <w:r w:rsidR="00014FC9" w:rsidRPr="001070EF">
        <w:rPr>
          <w:rFonts w:ascii="Times New Roman" w:hAnsi="Times New Roman" w:cs="Times New Roman"/>
        </w:rPr>
        <w:t>okviru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projekta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Pravosudna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suradnja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Hrvatske</w:t>
      </w:r>
      <w:proofErr w:type="spellEnd"/>
      <w:r w:rsidR="00014FC9" w:rsidRPr="001070EF">
        <w:rPr>
          <w:rFonts w:ascii="Times New Roman" w:hAnsi="Times New Roman" w:cs="Times New Roman"/>
        </w:rPr>
        <w:t xml:space="preserve"> u </w:t>
      </w:r>
      <w:proofErr w:type="spellStart"/>
      <w:r w:rsidR="00014FC9" w:rsidRPr="001070EF">
        <w:rPr>
          <w:rFonts w:ascii="Times New Roman" w:hAnsi="Times New Roman" w:cs="Times New Roman"/>
        </w:rPr>
        <w:t>kaznenim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stvarima</w:t>
      </w:r>
      <w:proofErr w:type="spellEnd"/>
      <w:r w:rsidR="00014FC9" w:rsidRPr="001070EF">
        <w:rPr>
          <w:rFonts w:ascii="Times New Roman" w:hAnsi="Times New Roman" w:cs="Times New Roman"/>
        </w:rPr>
        <w:t xml:space="preserve"> u EU </w:t>
      </w:r>
      <w:proofErr w:type="spellStart"/>
      <w:r w:rsidR="00014FC9" w:rsidRPr="001070EF">
        <w:rPr>
          <w:rFonts w:ascii="Times New Roman" w:hAnsi="Times New Roman" w:cs="Times New Roman"/>
        </w:rPr>
        <w:t>i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regiji</w:t>
      </w:r>
      <w:proofErr w:type="spellEnd"/>
      <w:r w:rsidR="00014FC9" w:rsidRPr="001070EF">
        <w:rPr>
          <w:rFonts w:ascii="Times New Roman" w:hAnsi="Times New Roman" w:cs="Times New Roman"/>
        </w:rPr>
        <w:t xml:space="preserve">: </w:t>
      </w:r>
      <w:proofErr w:type="spellStart"/>
      <w:r w:rsidR="00014FC9" w:rsidRPr="001070EF">
        <w:rPr>
          <w:rFonts w:ascii="Times New Roman" w:hAnsi="Times New Roman" w:cs="Times New Roman"/>
        </w:rPr>
        <w:t>nasljeđe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prošlosti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i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izazovi</w:t>
      </w:r>
      <w:proofErr w:type="spellEnd"/>
      <w:r w:rsidR="00014FC9" w:rsidRPr="001070EF">
        <w:rPr>
          <w:rFonts w:ascii="Times New Roman" w:hAnsi="Times New Roman" w:cs="Times New Roman"/>
        </w:rPr>
        <w:t xml:space="preserve"> </w:t>
      </w:r>
      <w:proofErr w:type="spellStart"/>
      <w:r w:rsidR="00014FC9" w:rsidRPr="001070EF">
        <w:rPr>
          <w:rFonts w:ascii="Times New Roman" w:hAnsi="Times New Roman" w:cs="Times New Roman"/>
        </w:rPr>
        <w:t>budućnosti</w:t>
      </w:r>
      <w:proofErr w:type="spellEnd"/>
      <w:r w:rsidR="00014FC9" w:rsidRPr="001070EF">
        <w:rPr>
          <w:rFonts w:ascii="Times New Roman" w:hAnsi="Times New Roman" w:cs="Times New Roman"/>
        </w:rPr>
        <w:t xml:space="preserve"> /Croatian Judicial Cooperation in Criminal Matters in the EU and the Region: Heritage of the Past and Challenges of the Future (</w:t>
      </w:r>
      <w:proofErr w:type="spellStart"/>
      <w:r w:rsidR="00014FC9" w:rsidRPr="001070EF">
        <w:rPr>
          <w:rFonts w:ascii="Times New Roman" w:hAnsi="Times New Roman" w:cs="Times New Roman"/>
        </w:rPr>
        <w:t>CoCoCrim</w:t>
      </w:r>
      <w:proofErr w:type="spellEnd"/>
      <w:r w:rsidR="00014FC9" w:rsidRPr="001070EF">
        <w:rPr>
          <w:rFonts w:ascii="Times New Roman" w:hAnsi="Times New Roman" w:cs="Times New Roman"/>
        </w:rPr>
        <w:t>)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F0"/>
    <w:rsid w:val="00014FC9"/>
    <w:rsid w:val="000235E2"/>
    <w:rsid w:val="0004526B"/>
    <w:rsid w:val="00153A07"/>
    <w:rsid w:val="004913C0"/>
    <w:rsid w:val="004F1692"/>
    <w:rsid w:val="00697738"/>
    <w:rsid w:val="00755FF0"/>
    <w:rsid w:val="007F2363"/>
    <w:rsid w:val="008A6970"/>
    <w:rsid w:val="00B17717"/>
    <w:rsid w:val="00B2416E"/>
    <w:rsid w:val="00B721E0"/>
    <w:rsid w:val="00F34598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3CF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55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5FF0"/>
    <w:rPr>
      <w:rFonts w:eastAsiaTheme="minorEastAsia"/>
      <w:color w:val="5A5A5A" w:themeColor="text1" w:themeTint="A5"/>
      <w:spacing w:val="15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FF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55F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A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C9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55F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5FF0"/>
    <w:rPr>
      <w:rFonts w:eastAsiaTheme="minorEastAsia"/>
      <w:color w:val="5A5A5A" w:themeColor="text1" w:themeTint="A5"/>
      <w:spacing w:val="15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FF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55F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A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F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FC9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1422</Words>
  <Characters>8107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Josipovic</dc:creator>
  <cp:keywords/>
  <dc:description/>
  <cp:lastModifiedBy>Marijana Konforta</cp:lastModifiedBy>
  <cp:revision>4</cp:revision>
  <dcterms:created xsi:type="dcterms:W3CDTF">2019-09-30T19:47:00Z</dcterms:created>
  <dcterms:modified xsi:type="dcterms:W3CDTF">2019-10-29T11:59:00Z</dcterms:modified>
</cp:coreProperties>
</file>