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="216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6890"/>
        <w:tblGridChange w:id="0">
          <w:tblGrid>
            <w:gridCol w:w="2440"/>
            <w:gridCol w:w="6890"/>
          </w:tblGrid>
        </w:tblGridChange>
      </w:tblGrid>
      <w:tr>
        <w:trPr>
          <w:trHeight w:val="570" w:hRule="atLeast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KOLEGIJ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ODABRANA PODRUČJA SOCIJALNOG RADA  - STARIJE OSOBE</w:t>
            </w:r>
          </w:p>
        </w:tc>
      </w:tr>
      <w:tr>
        <w:trPr>
          <w:trHeight w:val="46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OBAVEZNI ILI IZBORNI / GODINA STUDIJA NA KOJOJ SE KOLEGIJ IZVODI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OBAVEZNI / 1. godina</w:t>
            </w:r>
          </w:p>
        </w:tc>
      </w:tr>
      <w:tr>
        <w:trPr>
          <w:trHeight w:val="3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OBLIK NASTAVE (PREDAVANJA, SEMINAR, VJEŽBE, (I/ILI) PRAKTIČNA NASTAVA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 I VJEŽBE</w:t>
            </w:r>
          </w:p>
        </w:tc>
      </w:tr>
      <w:tr>
        <w:trPr>
          <w:trHeight w:val="40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ECTS BODOVI KOLEGIJA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ECTS: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pacing w:after="0" w:afterAutospacing="0" w:line="256.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Pohađanje predavanja – 45 sati: cca. 1,5 ECTS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0" w:afterAutospacing="0" w:line="256.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Pohađanje vježbi – 30 sati: cca. 1 ECTS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0" w:afterAutospacing="0" w:line="256.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Izrada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individualiziranih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zadataka – 45 sati: cca. 1,5 ECTS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Priprema za ispit (samostalno čitanje literature) – 60 sati: cca. 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STUDIJSKI PROGRAM NA KOJEM SE KOLEGIJ IZVODI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DIPLOMSKI SVEUČILIŠNI STUDIJ SOCIJALNOG RADA</w:t>
            </w:r>
          </w:p>
        </w:tc>
      </w:tr>
      <w:tr>
        <w:trPr>
          <w:trHeight w:val="25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RAZINA STUDIJSKOG PROGRAMA (6.st, 6.sv, 7.1.st, 7.1.sv, 7.2, 8.2.)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7.1.sv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KONSTRUKTIVNO POVEZIVANJE</w:t>
            </w:r>
          </w:p>
        </w:tc>
      </w:tr>
      <w:tr>
        <w:trPr>
          <w:trHeight w:val="25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4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Prepoznati specifične potrebe starijih osoba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Napraviti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sveobuhvatnu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rizika, problema, sposobnosti i     kapaciteta za promjenu i suradnju korisnika. (3)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 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Razumijevanje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primjene znanja u praksi, sposobnost učenja, vještina jasnog i razgovijetnoga usmenog i pisanog izražavanja, etičnost.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Potrebe starijih osoba u odnosu na druge dobne skupine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skrbi usmjeren zadovoljavanju potreba starijih osoba, IPP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i djelokrug rada socijalnog radnika te organizacija rada u zdravstvenim i socijalnim ustanovama za starije osobe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individualnog i grupnog rada sa starijim osobama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Cjeloživotno učenje i međugeneracijski odnosi kod starijih osoba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Pitanja vezana uz kraj života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demonstracija praktičnog zadatka, rad na tekstu, studentska debata, samostalno čitanje literature.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tipa: višestruki odabir ili/i zadatak esejskog tipa: objašnjenje zadane teme) 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A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Interpretirati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plan skrbi usmjeren zadovoljavanju potreba starijih osoba različitog zdravstvenog stanja</w:t>
            </w:r>
          </w:p>
        </w:tc>
      </w:tr>
      <w:tr>
        <w:trPr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Kreirati plan vođenja procesa promjena i intervencija s jasnim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pokazateljima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potencijalnih rizika, indikatorima mjerenja uspješnosti provođenja i očekivanih ishoda. (4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Razumijevanje 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primjene znanja u praksi, logičko argumentiranje uz uvažavanje drugačijeg mišljenja, sposobnost učenja, etičnost.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Potrebe starijih osoba u odnosu na druge dobne skupine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skrbi usmjeren zadovoljavanju potreba starijih osoba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i djelokrug rada socijalnog radnika te organizacija rada u zdravstvenim i socijalnim ustanovama za starije osobe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individualnog i grupnog rada sa starijim osobama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Cjeloživotno učenje i međugeneracijski odnosi kod starijih osoba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Pitanja vezana uz kraj života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demonstracija praktičnog zadatka, rad na tekstu, samostalno čitanje literature.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82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tipa: višestruki odabir ili/i zadatak esejskog tipa: objašnjenje zadane teme) 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82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F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Opisati poslove i djelokrug rada socijalnog radnika te organizaciju rada u zdravstvenim i socijalnim ustanovama za starije osobe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Usporediti teorijske pravce i znanstvene spoznaje u različitim         područjima rada socijalnih radnika. (8)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Generirati intervencije u socijalnom radu s ciljem zagovaranja, realizacije i zaštite ljudskih prava korisnika. (13)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Razumijevanje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Sposobnost rješavanja problema, sposobnost timskog rada, sposobnost kritike i samokritike, sposobnost primjene znanja u praksi, sposobnost učenja, jasno i razgovijetno izražavanje, etičnost.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5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Potrebe starijih osoba u odnosu na druge dobne skupine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5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skrbi usmjeren zadovoljavanju potreba starijih osoba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5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i djelokrug rada socijalnog radnika te organizacija rada u zdravstvenim i socijalnim ustanovama za starije osobe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5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individualnog i grupnog rada sa starijim osobama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5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Cjeloživotno učenje i međugeneracijski odnosi kod starijih osoba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Pitanja vezana uz kraj života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rad na tekstu, studentska debata, samostalno čitanje literature.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tipa: višestruki odabir ili/i zadatak esejskog tipa: objašnjenje zadane teme) 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55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Interpretirati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specifičnosti individualnog i grupnog rada sa starijim osobama, s posebnim osvrtom na specifičnosti u palijativnoj skrbi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5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Procijeniti moguće negativne efekte socijalnih politika i         </w:t>
              <w:tab/>
              <w:t xml:space="preserve">intervencija na socijalni položaj korisnika. (14)</w:t>
            </w:r>
          </w:p>
          <w:p w:rsidR="00000000" w:rsidDel="00000000" w:rsidP="00000000" w:rsidRDefault="00000000" w:rsidRPr="00000000" w14:paraId="0000005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Identificirati različite sustave formalne podrške za ranjive </w:t>
              <w:tab/>
              <w:t xml:space="preserve">društvene skupine (15)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 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Sposobnost rješavanja problema, sposobnost primjene znanja u praksi, sposobnost učenja, sposobnost precizne formulacije stavova, sposobnost stvaranja novih ideja, terenski rad.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 djelovanja u skladu s etičkim postavkama profesije.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Potrebe starijih osoba u odnosu na druge dobne skupine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skrbi usmjeren zadovoljavanju potreba starijih osoba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i djelokrug rada socijalnog radnika te organizacija rada u zdravstvenim i socijalnim ustanovama za starije osobe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individualnog i grupnog rada sa starijim osobama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Cjeloživotno učenje i međugeneracijski odnosi kod starijih osoba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Pitanja vezana uz kraj života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demonstracija praktičnog zadatka, rad na tekstu, samostalno čitanje literature, izrada pisanog rada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8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tipa: višestruki odabir ili/i zadatak esejskog tipa: objašnjenje zadane teme) 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8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  <w:tr>
        <w:trPr>
          <w:trHeight w:val="25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6C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Usporediti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međugeneracijske odnose i cjeloživotno učenje kod starijih osoba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Generirati intervencije u socijalnom radu s ciljem zagovaranja, realizacije i zaštite ljudskih prava korisnika (13)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rješavanja problema, sposobnost primjene znanja u praksi, sposobnost učenja.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6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Potrebe starijih osoba u odnosu na druge dobne skupine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6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skrbi usmjeren zadovoljavanju potreba starijih osoba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6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i djelokrug rada socijalnog radnika te organizacija rada u zdravstvenim i socijalnim ustanovama za starije osobe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6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individualnog i grupnog rada sa starijim osobama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6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Cjeloživotno učenje i međugeneracijski odnosi kod starijih osoba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Pitanja vezana uz kraj života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rad na tekstu, samostalno čitanje literature.</w:t>
            </w:r>
          </w:p>
        </w:tc>
      </w:tr>
      <w:tr>
        <w:trPr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Dva kolokvija ili pisani ispit (pitanja objektivnog tipa: višestruki odabir ili/i zadatak esejskog tipa: objašnjenje zadane teme) 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ispit.    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decimal"/>
      <w:lvlText w:val="%1."/>
      <w:lvlJc w:val="right"/>
      <w:pPr>
        <w:ind w:left="835" w:hanging="360"/>
      </w:pPr>
      <w:rPr/>
    </w:lvl>
    <w:lvl w:ilvl="1">
      <w:start w:val="1"/>
      <w:numFmt w:val="lowerLetter"/>
      <w:lvlText w:val="%2."/>
      <w:lvlJc w:val="left"/>
      <w:pPr>
        <w:ind w:left="1555" w:hanging="360"/>
      </w:pPr>
      <w:rPr/>
    </w:lvl>
    <w:lvl w:ilvl="2">
      <w:start w:val="1"/>
      <w:numFmt w:val="lowerRoman"/>
      <w:lvlText w:val="%3."/>
      <w:lvlJc w:val="right"/>
      <w:pPr>
        <w:ind w:left="2275" w:hanging="180"/>
      </w:pPr>
      <w:rPr/>
    </w:lvl>
    <w:lvl w:ilvl="3">
      <w:start w:val="1"/>
      <w:numFmt w:val="decimal"/>
      <w:lvlText w:val="%4."/>
      <w:lvlJc w:val="left"/>
      <w:pPr>
        <w:ind w:left="2995" w:hanging="360"/>
      </w:pPr>
      <w:rPr/>
    </w:lvl>
    <w:lvl w:ilvl="4">
      <w:start w:val="1"/>
      <w:numFmt w:val="lowerLetter"/>
      <w:lvlText w:val="%5."/>
      <w:lvlJc w:val="left"/>
      <w:pPr>
        <w:ind w:left="3715" w:hanging="360"/>
      </w:pPr>
      <w:rPr/>
    </w:lvl>
    <w:lvl w:ilvl="5">
      <w:start w:val="1"/>
      <w:numFmt w:val="lowerRoman"/>
      <w:lvlText w:val="%6."/>
      <w:lvlJc w:val="right"/>
      <w:pPr>
        <w:ind w:left="4435" w:hanging="180"/>
      </w:pPr>
      <w:rPr/>
    </w:lvl>
    <w:lvl w:ilvl="6">
      <w:start w:val="1"/>
      <w:numFmt w:val="decimal"/>
      <w:lvlText w:val="%7."/>
      <w:lvlJc w:val="left"/>
      <w:pPr>
        <w:ind w:left="5155" w:hanging="360"/>
      </w:pPr>
      <w:rPr/>
    </w:lvl>
    <w:lvl w:ilvl="7">
      <w:start w:val="1"/>
      <w:numFmt w:val="lowerLetter"/>
      <w:lvlText w:val="%8."/>
      <w:lvlJc w:val="left"/>
      <w:pPr>
        <w:ind w:left="5875" w:hanging="360"/>
      </w:pPr>
      <w:rPr/>
    </w:lvl>
    <w:lvl w:ilvl="8">
      <w:start w:val="1"/>
      <w:numFmt w:val="lowerRoman"/>
      <w:lvlText w:val="%9."/>
      <w:lvlJc w:val="right"/>
      <w:pPr>
        <w:ind w:left="6595" w:hanging="180"/>
      </w:pPr>
      <w:rPr/>
    </w:lvl>
  </w:abstractNum>
  <w:abstractNum w:abstractNumId="1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4E3B"/>
    <w:pPr>
      <w:spacing w:after="160" w:line="259" w:lineRule="auto"/>
    </w:p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394E3B"/>
    <w:pPr>
      <w:ind w:left="720"/>
      <w:contextualSpacing w:val="1"/>
    </w:pPr>
    <w:rPr>
      <w:lang w:val="hr-H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k39Gt1Fy4Ywq2dwPOYDGa+g7xA==">AMUW2mWviAOdX4BB5kxyFnwng+pEm6VBbvJZ2Gj1N0+ydP5DdGRtjlZUeQdVPIfmnIMNlLxibKfBTUJe2wWvsHelk/jY9lyzpJJpcMNbjjXpH0i0kNaa84M=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2021-07-08T13:43:00Z</dcterms:created>
</cp:coreProperties>
</file>