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="216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0"/>
        <w:gridCol w:w="6890"/>
        <w:tblGridChange w:id="0">
          <w:tblGrid>
            <w:gridCol w:w="2440"/>
            <w:gridCol w:w="6890"/>
          </w:tblGrid>
        </w:tblGridChange>
      </w:tblGrid>
      <w:tr>
        <w:trPr>
          <w:trHeight w:val="570" w:hRule="atLeast"/>
        </w:trP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KOLEGIJ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POSEBNI PRISTUPI SAVJETOVANJU</w:t>
            </w:r>
          </w:p>
        </w:tc>
      </w:tr>
      <w:tr>
        <w:trPr>
          <w:trHeight w:val="46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OBAVEZNI ILI IZBORNI / GODINA STUDIJA NA KOJOJ SE KOLEGIJ IZVODI 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IZBORNI / 1. godina</w:t>
            </w:r>
          </w:p>
        </w:tc>
      </w:tr>
      <w:tr>
        <w:trPr>
          <w:trHeight w:val="3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OBLIK NASTAVE (PREDAVANJA, SEMINAR, VJEŽBE, (I/ILI) PRAKTIČNA NASTAVA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</w:t>
            </w:r>
          </w:p>
        </w:tc>
      </w:tr>
      <w:tr>
        <w:trPr>
          <w:trHeight w:val="4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ECTS BODOVI KOLEGIJA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ECTS: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Predavanja – 45 sati: 1,5 ECTS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Priprema za predavanja: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rad na tekstu i analiza video materijala, vođena diskusija, demonstracija praktičnog zadatk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  45 sati: 1, 5 ECTS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Priprema za ispit (samostalno čitanje i učenje literature) – 60 sati: 2 ECTS</w:t>
            </w:r>
          </w:p>
        </w:tc>
      </w:tr>
      <w:tr>
        <w:trPr>
          <w:trHeight w:val="33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STUDIJSKI PROGRAM NA KOJEM SE KOLEGIJ IZVODI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DIPLOMSKI SVEUČILIŠNI STUDIJ SOCIJALNOG 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RAZINA STUDIJSKOG PROGRAMA (6.st, 6.sv, 7.1.st, 7.1.sv, 7.2, 8.2.)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 sv.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KONSTRUKTIVNO POVEZIVANJE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14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Identificirati i analizirati teorijske postavke i ključne pojmove pojedinog pristupa savjetovanju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Usporediti teorijske pravce i znanstvene spoznaje u različitim područjima rada socijalnih radnika. (8)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primjene znanja u praksi, vještina jasnog i razgovjetnog usmenog i pisanog izražavanja, sposobnost učenja, etičnost.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Savjetovanje i psihoterapija – pojmovna određenja i zakonski okvir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Psihoanaliza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Realitetni pristup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Geštaltistički pristup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Psihodinamski pristup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Psihodrama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Kognitivno-bihevioralni pristup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Transakcijska analiza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Teorije obiteljskih sustava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Duhovnost u savjetovanju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 tugovanja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Samopomoć pomagača - strategije primjene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rad u maloj grupi, samostalno čitanje literature, demonstracija praktičnog zadatka.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Pismeni ispit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2F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0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Primijeniti faze procesa savjetovanja pojedinog pristupa savjetovanju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9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Demonstrirati složenije komunikacijske vještine potrebne za rad s nedobrovoljnim korisnicima. (2)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Napraviti sveobuhvatnu analizu rizika, problema, sposobnosti i kapaciteta za promjenu i suradnju korisnika. (3)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9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5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9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7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primjene znanja u praksi, vještina jasnog i razgovjetnog usmenog i pisanog izražavanja, sposobnost učenja, etičnost.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9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Realitetni pristup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Geštaltistički pristup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Psihodinamski pristup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Psihodrama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Kognitivno-bihevioralni pristup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Transakcijska analiza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Teorije obiteljskih sustava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0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Duhovnost u savjetovanju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0"/>
              </w:numPr>
              <w:spacing w:after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 tugovanja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9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rad u maloj grupi, samostalno čitanje literature, demonstracija praktičnog zadatka.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Pismeni ispit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47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8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Objasniti primjenu terapijskih tehnika u radu s korisnikom prema postavkama pojedinog pristupa savjetovanju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Demonstrirati složenije komunikacijske vještine potrebne za rad s nedobrovoljnim korisnicima. (2)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C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Stvaranje / sinteza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E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primjene znanja u praksi, vještina jasnog i razgovjetnog usmenog i pisanog izražavanja, sposobnost učenja, etičnost.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1"/>
              </w:numPr>
              <w:spacing w:after="0" w:lineRule="auto"/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Realitetni pristup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Geštaltistički pristup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Psihodinamski pristup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Psihodrama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Kognitivno-bihevioralni pristup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Transakcijska analiza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Teorije obiteljskih sustava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Duhovnost u savjetovanju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 tugovanja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rad u maloj grupi, samostalno čitanje literature, demonstracija praktičnog zadatka.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spacing w:after="0" w:lineRule="auto"/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  <w:tab/>
              <w:t xml:space="preserve">Pismeni ispit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  <w:tab/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5E">
            <w:pPr>
              <w:ind w:left="3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F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Usporediti ulogu savjetovatelja u pojedinom pristupu savjetovanju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Izabrati vještine profesionalne komunikacije prilagođene specifičnim skupinama korisnika. (1)</w:t>
            </w:r>
          </w:p>
          <w:p w:rsidR="00000000" w:rsidDel="00000000" w:rsidP="00000000" w:rsidRDefault="00000000" w:rsidRPr="00000000" w14:paraId="00000062">
            <w:pPr>
              <w:spacing w:after="200" w:lineRule="auto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Usporediti teorijske pravce i znanstvene spoznaje u različitim područjima rada socijalnih radnika. (8)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4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6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primjene znanja u praksi, vještina jasnog i razgovjetnog usmenog i pisanog izražavanja, sposobnost učenja, etičnost.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Realitetni pristup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Geštaltistički pristup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Psihodinamski pristup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Psihodrama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Kognitivno-bihevioralni pristup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Transakcijska analiza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Teorije obiteljskih sustava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Duhovnost u savjetovanju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 tugovanja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Samopomoć pomagača - strategije primjene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3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Predavanje, vođena diskusija, rad u maloj grupi, samostalno čitanje literature.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Pismeni ispit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Usmeni ispit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7759"/>
    <w:rPr>
      <w:lang w:val="en-US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5011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umpJrToGWYumnEYYc0mAeS5BA==">AMUW2mXieaZcZvKxb85UjH0CSagzGaedIlpnS362YMf58erv4HnE8L2EktNQSzkOQpIvuTuQ8NRm3ubwMw9+dPsqikct+UZnt8X7SorpnexaklOCf11oTIE=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2021-07-16T11:54:00Z</dcterms:created>
  <dc:creator>Marina Ajduković</dc:creator>
</cp:coreProperties>
</file>